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olo1"/>
        <w:spacing w:before="0"/>
        <w:jc w:val="center"/>
        <w:rPr>
          <w:rFonts w:ascii="Calibri" w:hAnsi="Calibri"/>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Calibri" w:hAnsi="Calibri"/>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Informativa Fiscale – GIUGNO 2025</w:t>
      </w:r>
    </w:p>
    <w:tbl>
      <w:tblPr>
        <w:tblW w:w="9645" w:type="dxa"/>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4A0" w:firstRow="1" w:lastRow="0" w:firstColumn="1" w:lastColumn="0" w:noHBand="0" w:noVBand="1"/>
      </w:tblPr>
      <w:tblGrid>
        <w:gridCol w:w="9645"/>
      </w:tblGrid>
      <w:tr>
        <w:trPr>
          <w:trHeight w:val="531"/>
        </w:trPr>
        <w:tc>
          <w:tcPr>
            <w:tcW w:w="9639" w:type="dxa"/>
            <w:tcBorders>
              <w:top w:val="single" w:sz="12" w:space="0" w:color="auto"/>
              <w:left w:val="single" w:sz="12" w:space="0" w:color="auto"/>
              <w:bottom w:val="single" w:sz="12" w:space="0" w:color="auto"/>
              <w:right w:val="single" w:sz="12" w:space="0" w:color="auto"/>
            </w:tcBorders>
            <w:shd w:val="clear" w:color="auto" w:fill="B6DDE8"/>
            <w:vAlign w:val="center"/>
            <w:hideMark/>
          </w:tcPr>
          <w:p>
            <w:pPr>
              <w:pStyle w:val="Corpodeltesto21"/>
              <w:widowControl/>
              <w:spacing w:line="240" w:lineRule="auto"/>
              <w:jc w:val="center"/>
              <w:rPr>
                <w:rFonts w:ascii="Arial" w:hAnsi="Arial" w:cs="Arial"/>
                <w:b/>
                <w:i/>
                <w:sz w:val="36"/>
              </w:rPr>
            </w:pPr>
            <w:r>
              <w:rPr>
                <w:rFonts w:ascii="Arial" w:hAnsi="Arial" w:cs="Arial"/>
                <w:b/>
                <w:i/>
                <w:sz w:val="36"/>
              </w:rPr>
              <w:t>ULTIME NOVITÀ FISCALI</w:t>
            </w:r>
          </w:p>
        </w:tc>
      </w:tr>
    </w:tbl>
    <w:p>
      <w:pPr>
        <w:rPr>
          <w:rFonts w:ascii="Calibri" w:hAnsi="Calibri" w:cs="Calibri"/>
          <w:color w:val="000000"/>
          <w:sz w:val="12"/>
          <w:szCs w:val="12"/>
        </w:rPr>
      </w:pPr>
    </w:p>
    <w:tbl>
      <w:tblPr>
        <w:tblW w:w="9645" w:type="dxa"/>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04"/>
        <w:gridCol w:w="6241"/>
      </w:tblGrid>
      <w:tr>
        <w:trPr>
          <w:trHeight w:val="690"/>
        </w:trPr>
        <w:tc>
          <w:tcPr>
            <w:tcW w:w="3402" w:type="dxa"/>
            <w:tcBorders>
              <w:top w:val="double" w:sz="4" w:space="0" w:color="auto"/>
              <w:left w:val="double" w:sz="4" w:space="0" w:color="auto"/>
              <w:bottom w:val="single" w:sz="4" w:space="0" w:color="auto"/>
              <w:right w:val="single" w:sz="4" w:space="0" w:color="auto"/>
            </w:tcBorders>
          </w:tcPr>
          <w:p>
            <w:pPr>
              <w:pStyle w:val="Titoletto"/>
              <w:spacing w:line="240" w:lineRule="auto"/>
            </w:pPr>
            <w:r>
              <w:t>Detrazione IVA e</w:t>
            </w:r>
          </w:p>
          <w:p>
            <w:pPr>
              <w:pStyle w:val="Titoletto"/>
              <w:spacing w:after="57" w:line="240" w:lineRule="auto"/>
              <w:rPr>
                <w:sz w:val="4"/>
                <w:szCs w:val="4"/>
              </w:rPr>
            </w:pPr>
            <w:r>
              <w:t>elementi fattura</w:t>
            </w: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rPr>
                <w:sz w:val="4"/>
                <w:szCs w:val="4"/>
              </w:rPr>
            </w:pPr>
          </w:p>
          <w:p>
            <w:pPr>
              <w:shd w:val="clear" w:color="auto" w:fill="EDF7F9"/>
              <w:tabs>
                <w:tab w:val="left" w:pos="3359"/>
              </w:tabs>
              <w:suppressAutoHyphens/>
              <w:autoSpaceDE w:val="0"/>
              <w:autoSpaceDN w:val="0"/>
              <w:adjustRightInd w:val="0"/>
              <w:spacing w:line="240" w:lineRule="auto"/>
              <w:ind w:right="-56"/>
              <w:rPr>
                <w:color w:val="000000"/>
              </w:rPr>
            </w:pPr>
            <w:r>
              <w:rPr>
                <w:rFonts w:ascii="Arial" w:hAnsi="Arial" w:cs="Arial"/>
                <w:b/>
                <w:bCs/>
                <w:i/>
                <w:iCs/>
                <w:w w:val="90"/>
              </w:rPr>
              <w:t>Sentenza Corte Cassazione 8.2.2025, n. 3225</w:t>
            </w:r>
          </w:p>
        </w:tc>
        <w:tc>
          <w:tcPr>
            <w:tcW w:w="6237" w:type="dxa"/>
            <w:tcBorders>
              <w:top w:val="double" w:sz="4" w:space="0" w:color="auto"/>
              <w:left w:val="single" w:sz="4" w:space="0" w:color="auto"/>
              <w:bottom w:val="single" w:sz="4" w:space="0" w:color="auto"/>
              <w:right w:val="double" w:sz="4" w:space="0" w:color="auto"/>
            </w:tcBorders>
            <w:vAlign w:val="center"/>
            <w:hideMark/>
          </w:tcPr>
          <w:p>
            <w:pPr>
              <w:pStyle w:val="Default"/>
              <w:spacing w:before="20" w:after="20"/>
              <w:jc w:val="both"/>
              <w:rPr>
                <w:color w:val="auto"/>
                <w:sz w:val="22"/>
                <w:szCs w:val="22"/>
              </w:rPr>
            </w:pPr>
            <w:r>
              <w:rPr>
                <w:color w:val="auto"/>
                <w:sz w:val="22"/>
                <w:szCs w:val="22"/>
              </w:rPr>
              <w:t>Ai fini della detrazione dell'IVA ovvero dell’applicazione del reverse charge, le fatture per prestazioni di servizi (tra le quali le prestazioni relative ad un contratto di subappalto) devono contenere l’indicazione:</w:t>
            </w:r>
          </w:p>
          <w:p>
            <w:pPr>
              <w:pStyle w:val="ScadenziarioPuntoni"/>
              <w:numPr>
                <w:ilvl w:val="0"/>
                <w:numId w:val="39"/>
              </w:numPr>
              <w:spacing w:before="20"/>
              <w:ind w:left="238" w:hanging="238"/>
              <w:rPr>
                <w:color w:val="auto"/>
                <w:sz w:val="22"/>
                <w:szCs w:val="22"/>
              </w:rPr>
            </w:pPr>
            <w:r>
              <w:rPr>
                <w:rFonts w:eastAsia="Calibri"/>
                <w:bCs/>
                <w:sz w:val="22"/>
                <w:szCs w:val="22"/>
              </w:rPr>
              <w:t>dell’entità</w:t>
            </w:r>
            <w:r>
              <w:rPr>
                <w:color w:val="auto"/>
                <w:sz w:val="22"/>
                <w:szCs w:val="22"/>
              </w:rPr>
              <w:t xml:space="preserve"> e della natura dei servizi stessi;</w:t>
            </w:r>
          </w:p>
          <w:p>
            <w:pPr>
              <w:pStyle w:val="ScadenziarioPuntoni"/>
              <w:numPr>
                <w:ilvl w:val="0"/>
                <w:numId w:val="39"/>
              </w:numPr>
              <w:spacing w:before="20"/>
              <w:ind w:left="238" w:hanging="238"/>
              <w:rPr>
                <w:color w:val="auto"/>
                <w:sz w:val="22"/>
                <w:szCs w:val="22"/>
              </w:rPr>
            </w:pPr>
            <w:r>
              <w:rPr>
                <w:color w:val="auto"/>
                <w:sz w:val="22"/>
                <w:szCs w:val="22"/>
              </w:rPr>
              <w:t>della data nella quale sono stati effettuati / ultimati.</w:t>
            </w:r>
          </w:p>
          <w:p>
            <w:pPr>
              <w:pStyle w:val="Default"/>
              <w:spacing w:before="20" w:after="20"/>
              <w:jc w:val="both"/>
              <w:rPr>
                <w:color w:val="auto"/>
              </w:rPr>
            </w:pPr>
            <w:r>
              <w:rPr>
                <w:color w:val="auto"/>
                <w:sz w:val="22"/>
                <w:szCs w:val="22"/>
              </w:rPr>
              <w:t xml:space="preserve">Di conseguenza, </w:t>
            </w:r>
            <w:r>
              <w:rPr>
                <w:i/>
                <w:color w:val="auto"/>
                <w:sz w:val="22"/>
                <w:szCs w:val="22"/>
              </w:rPr>
              <w:t>“il contribuente che chiede la detrazione dell'Iva ha l'onere di dimostrare che sono state soddisfatte le relative condizioni e, di conseguenza, anche di fornire elementi integrativi rispetto alle fatture che l'Ufficio ritenga necessari ai fini della valutazione della richiesta”</w:t>
            </w:r>
            <w:r>
              <w:rPr>
                <w:color w:val="auto"/>
                <w:sz w:val="22"/>
                <w:szCs w:val="22"/>
              </w:rPr>
              <w:t>.</w:t>
            </w:r>
          </w:p>
        </w:tc>
      </w:tr>
      <w:tr>
        <w:trPr>
          <w:trHeight w:val="874"/>
        </w:trPr>
        <w:tc>
          <w:tcPr>
            <w:tcW w:w="3402" w:type="dxa"/>
            <w:tcBorders>
              <w:top w:val="single" w:sz="4" w:space="0" w:color="auto"/>
              <w:left w:val="double" w:sz="4" w:space="0" w:color="auto"/>
              <w:bottom w:val="single" w:sz="4" w:space="0" w:color="auto"/>
              <w:right w:val="single" w:sz="4" w:space="0" w:color="auto"/>
            </w:tcBorders>
          </w:tcPr>
          <w:p>
            <w:pPr>
              <w:pStyle w:val="Titoletto"/>
              <w:spacing w:line="240" w:lineRule="auto"/>
            </w:pPr>
            <w:r>
              <w:t xml:space="preserve">Esenzione IMU </w:t>
            </w:r>
          </w:p>
          <w:p>
            <w:pPr>
              <w:pStyle w:val="Titoletto"/>
              <w:spacing w:line="240" w:lineRule="auto"/>
              <w:rPr>
                <w:sz w:val="4"/>
                <w:szCs w:val="4"/>
              </w:rPr>
            </w:pPr>
            <w:r>
              <w:t xml:space="preserve">immobile merce </w:t>
            </w:r>
          </w:p>
          <w:p>
            <w:pPr>
              <w:pStyle w:val="Titoletto"/>
              <w:spacing w:after="57" w:line="240" w:lineRule="auto"/>
              <w:jc w:val="left"/>
              <w:rPr>
                <w:sz w:val="4"/>
                <w:szCs w:val="4"/>
              </w:rPr>
            </w:pPr>
          </w:p>
          <w:p>
            <w:pPr>
              <w:pStyle w:val="Titoletto"/>
              <w:spacing w:after="57" w:line="240" w:lineRule="auto"/>
              <w:jc w:val="left"/>
              <w:rPr>
                <w:sz w:val="4"/>
                <w:szCs w:val="4"/>
              </w:rPr>
            </w:pPr>
          </w:p>
          <w:p>
            <w:pPr>
              <w:pStyle w:val="Titoletto"/>
              <w:spacing w:after="57" w:line="240" w:lineRule="auto"/>
              <w:jc w:val="left"/>
              <w:rPr>
                <w:sz w:val="4"/>
                <w:szCs w:val="4"/>
              </w:rPr>
            </w:pPr>
          </w:p>
          <w:p>
            <w:pPr>
              <w:pStyle w:val="Titoletto"/>
              <w:spacing w:after="57" w:line="240" w:lineRule="auto"/>
              <w:jc w:val="left"/>
              <w:rPr>
                <w:sz w:val="4"/>
                <w:szCs w:val="4"/>
              </w:rPr>
            </w:pPr>
          </w:p>
          <w:p>
            <w:pPr>
              <w:pStyle w:val="Titoletto"/>
              <w:spacing w:after="57" w:line="240" w:lineRule="auto"/>
              <w:jc w:val="left"/>
              <w:rPr>
                <w:sz w:val="4"/>
                <w:szCs w:val="4"/>
              </w:rPr>
            </w:pPr>
          </w:p>
          <w:p>
            <w:pPr>
              <w:pStyle w:val="Titoletto"/>
              <w:spacing w:after="57" w:line="240" w:lineRule="auto"/>
              <w:jc w:val="left"/>
              <w:rPr>
                <w:sz w:val="4"/>
                <w:szCs w:val="4"/>
              </w:rPr>
            </w:pPr>
          </w:p>
          <w:p>
            <w:pPr>
              <w:pStyle w:val="Titoletto"/>
              <w:spacing w:after="57" w:line="240" w:lineRule="auto"/>
              <w:jc w:val="left"/>
              <w:rPr>
                <w:sz w:val="4"/>
                <w:szCs w:val="4"/>
              </w:rPr>
            </w:pPr>
          </w:p>
          <w:p>
            <w:pPr>
              <w:pStyle w:val="Titoletto"/>
              <w:spacing w:after="57" w:line="240" w:lineRule="auto"/>
              <w:jc w:val="left"/>
              <w:rPr>
                <w:sz w:val="4"/>
                <w:szCs w:val="4"/>
              </w:rPr>
            </w:pPr>
          </w:p>
          <w:p>
            <w:pPr>
              <w:pStyle w:val="Titoletto"/>
              <w:spacing w:after="57" w:line="240" w:lineRule="auto"/>
              <w:rPr>
                <w:sz w:val="4"/>
                <w:szCs w:val="4"/>
              </w:rPr>
            </w:pPr>
          </w:p>
          <w:p>
            <w:pPr>
              <w:pStyle w:val="Titoletto"/>
              <w:spacing w:after="57" w:line="240" w:lineRule="auto"/>
              <w:jc w:val="left"/>
              <w:rPr>
                <w:sz w:val="4"/>
                <w:szCs w:val="4"/>
              </w:rPr>
            </w:pPr>
          </w:p>
          <w:p>
            <w:pPr>
              <w:shd w:val="clear" w:color="auto" w:fill="EDF7F9"/>
              <w:tabs>
                <w:tab w:val="left" w:pos="3359"/>
              </w:tabs>
              <w:suppressAutoHyphens/>
              <w:autoSpaceDE w:val="0"/>
              <w:autoSpaceDN w:val="0"/>
              <w:adjustRightInd w:val="0"/>
              <w:spacing w:line="240" w:lineRule="auto"/>
              <w:ind w:right="-56"/>
              <w:rPr>
                <w:color w:val="000000"/>
              </w:rPr>
            </w:pPr>
            <w:r>
              <w:rPr>
                <w:rFonts w:ascii="Arial" w:hAnsi="Arial" w:cs="Arial"/>
                <w:b/>
                <w:bCs/>
                <w:i/>
                <w:iCs/>
                <w:w w:val="90"/>
              </w:rPr>
              <w:t>Ordinanza Corte Cassazione 21.4.2025, n. 10394</w:t>
            </w:r>
          </w:p>
        </w:tc>
        <w:tc>
          <w:tcPr>
            <w:tcW w:w="6237" w:type="dxa"/>
            <w:tcBorders>
              <w:top w:val="single" w:sz="4" w:space="0" w:color="auto"/>
              <w:left w:val="single" w:sz="4" w:space="0" w:color="auto"/>
              <w:bottom w:val="single" w:sz="4" w:space="0" w:color="auto"/>
              <w:right w:val="double" w:sz="4" w:space="0" w:color="auto"/>
            </w:tcBorders>
            <w:vAlign w:val="center"/>
            <w:hideMark/>
          </w:tcPr>
          <w:p>
            <w:pPr>
              <w:pStyle w:val="Default"/>
              <w:spacing w:before="20" w:after="20"/>
              <w:jc w:val="both"/>
              <w:rPr>
                <w:color w:val="auto"/>
                <w:sz w:val="22"/>
                <w:szCs w:val="22"/>
              </w:rPr>
            </w:pPr>
            <w:r>
              <w:rPr>
                <w:color w:val="auto"/>
                <w:sz w:val="22"/>
                <w:szCs w:val="22"/>
              </w:rPr>
              <w:t xml:space="preserve">Relativamente ai fabbricati costruiti e destinati dall'impresa costruttrice alla vendita, c.d. “immobili-merce”, l'esenzione IMU di cui all'art. 13, comma 9-bis, DL n. 201/2011 non opera qualora gli stessi siano locati, anche solo transitoriamente. </w:t>
            </w:r>
          </w:p>
          <w:p>
            <w:pPr>
              <w:pStyle w:val="Default"/>
              <w:spacing w:before="20" w:after="20"/>
              <w:jc w:val="both"/>
              <w:rPr>
                <w:color w:val="auto"/>
                <w:sz w:val="22"/>
                <w:szCs w:val="22"/>
              </w:rPr>
            </w:pPr>
            <w:r>
              <w:rPr>
                <w:color w:val="auto"/>
                <w:sz w:val="22"/>
                <w:szCs w:val="22"/>
              </w:rPr>
              <w:t>In particolare, in caso di locazione per una frazione d'anno, l'esenzione è esclusa per l'intera annualità, non essendo consentito usufruire di tale beneficio</w:t>
            </w:r>
            <w:r>
              <w:rPr>
                <w:i/>
                <w:iCs/>
                <w:color w:val="auto"/>
                <w:sz w:val="22"/>
                <w:szCs w:val="22"/>
              </w:rPr>
              <w:t xml:space="preserve"> “proporzionalmente ... al periodo infrannuale di godimento da parte del contribuente</w:t>
            </w:r>
            <w:r>
              <w:rPr>
                <w:color w:val="auto"/>
                <w:sz w:val="22"/>
                <w:szCs w:val="22"/>
              </w:rPr>
              <w:t>”.</w:t>
            </w:r>
          </w:p>
        </w:tc>
      </w:tr>
      <w:tr>
        <w:trPr>
          <w:trHeight w:val="1257"/>
        </w:trPr>
        <w:tc>
          <w:tcPr>
            <w:tcW w:w="3402" w:type="dxa"/>
            <w:tcBorders>
              <w:top w:val="single" w:sz="4" w:space="0" w:color="auto"/>
              <w:left w:val="double" w:sz="4" w:space="0" w:color="auto"/>
              <w:bottom w:val="single" w:sz="4" w:space="0" w:color="auto"/>
              <w:right w:val="single" w:sz="4" w:space="0" w:color="auto"/>
            </w:tcBorders>
          </w:tcPr>
          <w:p>
            <w:pPr>
              <w:pStyle w:val="Titoletto"/>
              <w:spacing w:line="240" w:lineRule="auto"/>
            </w:pPr>
            <w:r>
              <w:t xml:space="preserve">Decadenza Superbonus 110% </w:t>
            </w: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jc w:val="left"/>
              <w:rPr>
                <w:sz w:val="4"/>
                <w:szCs w:val="4"/>
              </w:rPr>
            </w:pPr>
          </w:p>
          <w:p>
            <w:pPr>
              <w:pStyle w:val="Titoletto"/>
              <w:spacing w:line="240" w:lineRule="auto"/>
              <w:rPr>
                <w:sz w:val="4"/>
                <w:szCs w:val="4"/>
              </w:rPr>
            </w:pPr>
          </w:p>
          <w:p>
            <w:pPr>
              <w:shd w:val="clear" w:color="auto" w:fill="EDF7F9"/>
              <w:tabs>
                <w:tab w:val="left" w:pos="3359"/>
              </w:tabs>
              <w:suppressAutoHyphens/>
              <w:autoSpaceDE w:val="0"/>
              <w:autoSpaceDN w:val="0"/>
              <w:adjustRightInd w:val="0"/>
              <w:spacing w:line="240" w:lineRule="auto"/>
              <w:ind w:right="-56"/>
              <w:rPr>
                <w:color w:val="000000"/>
              </w:rPr>
            </w:pPr>
            <w:r>
              <w:rPr>
                <w:rFonts w:ascii="Arial" w:hAnsi="Arial" w:cs="Arial"/>
                <w:b/>
                <w:bCs/>
                <w:i/>
                <w:iCs/>
                <w:w w:val="90"/>
              </w:rPr>
              <w:t>Risposta interpello Agenzia Entrate 29.4.2025, n. 122</w:t>
            </w:r>
          </w:p>
        </w:tc>
        <w:tc>
          <w:tcPr>
            <w:tcW w:w="6237" w:type="dxa"/>
            <w:tcBorders>
              <w:top w:val="single" w:sz="4" w:space="0" w:color="auto"/>
              <w:left w:val="single" w:sz="4" w:space="0" w:color="auto"/>
              <w:bottom w:val="single" w:sz="4" w:space="0" w:color="auto"/>
              <w:right w:val="double" w:sz="4" w:space="0" w:color="auto"/>
            </w:tcBorders>
            <w:vAlign w:val="center"/>
            <w:hideMark/>
          </w:tcPr>
          <w:p>
            <w:pPr>
              <w:pStyle w:val="Default"/>
              <w:spacing w:before="20" w:after="20"/>
              <w:jc w:val="both"/>
              <w:rPr>
                <w:color w:val="auto"/>
                <w:sz w:val="22"/>
                <w:szCs w:val="22"/>
              </w:rPr>
            </w:pPr>
            <w:r>
              <w:rPr>
                <w:color w:val="auto"/>
                <w:sz w:val="22"/>
                <w:szCs w:val="22"/>
              </w:rPr>
              <w:t>Comporta la decadenza della detrazione Superbonus 110% la mancata compilazione del quadro F della CILAS relativo alle attestazioni inerenti la costruzione / legittimazione dell'immobile. Tuttavia, la regolarizzazione della violazione “</w:t>
            </w:r>
            <w:r>
              <w:rPr>
                <w:i/>
                <w:iCs/>
                <w:color w:val="auto"/>
                <w:sz w:val="22"/>
                <w:szCs w:val="22"/>
              </w:rPr>
              <w:t>semprechè ne sussistano i requisiti normativamente previsti</w:t>
            </w:r>
            <w:r>
              <w:rPr>
                <w:color w:val="auto"/>
                <w:sz w:val="22"/>
                <w:szCs w:val="22"/>
              </w:rPr>
              <w:t>” consente al contribuente “</w:t>
            </w:r>
            <w:r>
              <w:rPr>
                <w:i/>
                <w:iCs/>
                <w:color w:val="auto"/>
                <w:sz w:val="22"/>
                <w:szCs w:val="22"/>
              </w:rPr>
              <w:t>la fruizione della detrazioni ordinariamente previste per i medesimi interventi</w:t>
            </w:r>
            <w:r>
              <w:rPr>
                <w:color w:val="auto"/>
                <w:sz w:val="22"/>
                <w:szCs w:val="22"/>
              </w:rPr>
              <w:t>” (riqualificazione energetica e recupero patrimonio edilizio ex artt. 14 e 16, DL n. 63/2013).</w:t>
            </w:r>
          </w:p>
        </w:tc>
      </w:tr>
      <w:tr>
        <w:trPr>
          <w:trHeight w:val="1181"/>
        </w:trPr>
        <w:tc>
          <w:tcPr>
            <w:tcW w:w="3402" w:type="dxa"/>
            <w:tcBorders>
              <w:top w:val="single" w:sz="4" w:space="0" w:color="auto"/>
              <w:left w:val="double" w:sz="4" w:space="0" w:color="auto"/>
              <w:bottom w:val="double" w:sz="4" w:space="0" w:color="auto"/>
              <w:right w:val="single" w:sz="4" w:space="0" w:color="auto"/>
            </w:tcBorders>
          </w:tcPr>
          <w:p>
            <w:pPr>
              <w:pStyle w:val="Titoletto"/>
              <w:spacing w:after="57" w:line="240" w:lineRule="auto"/>
              <w:rPr>
                <w:sz w:val="4"/>
                <w:szCs w:val="4"/>
              </w:rPr>
            </w:pPr>
            <w:r>
              <w:t>Ecobonus e tardiva comunicazione ENEA</w:t>
            </w:r>
          </w:p>
          <w:p>
            <w:pPr>
              <w:pStyle w:val="Titoletto"/>
              <w:spacing w:after="57" w:line="240" w:lineRule="auto"/>
              <w:jc w:val="left"/>
              <w:rPr>
                <w:sz w:val="4"/>
                <w:szCs w:val="4"/>
              </w:rPr>
            </w:pPr>
          </w:p>
          <w:p>
            <w:pPr>
              <w:pStyle w:val="Titoletto"/>
              <w:spacing w:line="240" w:lineRule="auto"/>
              <w:rPr>
                <w:sz w:val="4"/>
                <w:szCs w:val="4"/>
              </w:rPr>
            </w:pPr>
          </w:p>
          <w:p>
            <w:pPr>
              <w:shd w:val="clear" w:color="auto" w:fill="EDF7F9"/>
              <w:tabs>
                <w:tab w:val="left" w:pos="3359"/>
              </w:tabs>
              <w:suppressAutoHyphens/>
              <w:autoSpaceDE w:val="0"/>
              <w:autoSpaceDN w:val="0"/>
              <w:adjustRightInd w:val="0"/>
              <w:spacing w:line="240" w:lineRule="auto"/>
              <w:ind w:right="-56"/>
              <w:rPr>
                <w:color w:val="000000"/>
              </w:rPr>
            </w:pPr>
            <w:r>
              <w:rPr>
                <w:rFonts w:ascii="Arial" w:hAnsi="Arial" w:cs="Arial"/>
                <w:b/>
                <w:bCs/>
                <w:i/>
                <w:iCs/>
                <w:w w:val="90"/>
              </w:rPr>
              <w:t>Ordinanza Corte Cassazione 10.5.2025, n. 129</w:t>
            </w:r>
          </w:p>
        </w:tc>
        <w:tc>
          <w:tcPr>
            <w:tcW w:w="6237" w:type="dxa"/>
            <w:tcBorders>
              <w:top w:val="single" w:sz="4" w:space="0" w:color="auto"/>
              <w:left w:val="single" w:sz="4" w:space="0" w:color="auto"/>
              <w:bottom w:val="double" w:sz="4" w:space="0" w:color="auto"/>
              <w:right w:val="double" w:sz="4" w:space="0" w:color="auto"/>
            </w:tcBorders>
            <w:vAlign w:val="center"/>
            <w:hideMark/>
          </w:tcPr>
          <w:p>
            <w:pPr>
              <w:pStyle w:val="Corpotesto"/>
              <w:spacing w:after="0" w:line="240" w:lineRule="auto"/>
              <w:jc w:val="both"/>
              <w:rPr>
                <w:rFonts w:ascii="Arial" w:eastAsia="Times New Roman" w:hAnsi="Arial" w:cs="Arial"/>
                <w:color w:val="auto"/>
              </w:rPr>
            </w:pPr>
            <w:r>
              <w:rPr>
                <w:rFonts w:ascii="Arial" w:eastAsia="Times New Roman" w:hAnsi="Arial" w:cs="Arial"/>
                <w:color w:val="auto"/>
              </w:rPr>
              <w:t>Non determina la decadenza della detrazione per gli interventi di riqualificazione energetica degli edifici (c.d. “Ecobonus”) la comunicazione all'ENEA dei dati relativi ai lavori effettuata tardivamente, ossia oltre 90 giorni dal termine degli stessi.</w:t>
            </w:r>
          </w:p>
        </w:tc>
      </w:tr>
    </w:tbl>
    <w:p>
      <w:pPr>
        <w:rPr>
          <w:rFonts w:ascii="Calibri" w:hAnsi="Calibri" w:cs="Calibri"/>
          <w:color w:val="000000"/>
        </w:rPr>
      </w:pPr>
    </w:p>
    <w:tbl>
      <w:tblPr>
        <w:tblW w:w="9645" w:type="dxa"/>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4A0" w:firstRow="1" w:lastRow="0" w:firstColumn="1" w:lastColumn="0" w:noHBand="0" w:noVBand="1"/>
      </w:tblPr>
      <w:tblGrid>
        <w:gridCol w:w="9645"/>
      </w:tblGrid>
      <w:tr>
        <w:trPr>
          <w:trHeight w:val="267"/>
        </w:trPr>
        <w:tc>
          <w:tcPr>
            <w:tcW w:w="9639" w:type="dxa"/>
            <w:tcBorders>
              <w:top w:val="single" w:sz="12" w:space="0" w:color="auto"/>
              <w:left w:val="single" w:sz="12" w:space="0" w:color="auto"/>
              <w:bottom w:val="single" w:sz="12" w:space="0" w:color="auto"/>
              <w:right w:val="single" w:sz="12" w:space="0" w:color="auto"/>
            </w:tcBorders>
            <w:shd w:val="clear" w:color="auto" w:fill="B6DDE8"/>
            <w:vAlign w:val="center"/>
            <w:hideMark/>
          </w:tcPr>
          <w:p>
            <w:pPr>
              <w:pStyle w:val="Corpodeltesto21"/>
              <w:widowControl/>
              <w:spacing w:after="60" w:line="240" w:lineRule="auto"/>
              <w:jc w:val="center"/>
              <w:rPr>
                <w:rFonts w:ascii="Arial Grassetto" w:hAnsi="Arial Grassetto" w:cs="Arial"/>
                <w:b/>
                <w:i/>
                <w:sz w:val="36"/>
                <w:u w:val="single"/>
              </w:rPr>
            </w:pPr>
            <w:r>
              <w:rPr>
                <w:sz w:val="8"/>
                <w:szCs w:val="8"/>
              </w:rPr>
              <w:br w:type="page"/>
            </w:r>
            <w:r>
              <w:rPr>
                <w:sz w:val="8"/>
                <w:szCs w:val="8"/>
              </w:rPr>
              <w:br w:type="page"/>
            </w:r>
            <w:r>
              <w:rPr>
                <w:sz w:val="12"/>
                <w:szCs w:val="12"/>
              </w:rPr>
              <w:br w:type="page"/>
            </w:r>
            <w:r>
              <w:rPr>
                <w:sz w:val="12"/>
                <w:szCs w:val="12"/>
              </w:rPr>
              <w:br w:type="page"/>
            </w:r>
            <w:r>
              <w:rPr>
                <w:rFonts w:ascii="Arial Grassetto" w:hAnsi="Arial Grassetto" w:cs="Arial"/>
                <w:b/>
                <w:i/>
                <w:sz w:val="36"/>
              </w:rPr>
              <w:t>COMMENTI</w:t>
            </w:r>
          </w:p>
          <w:p>
            <w:pPr>
              <w:pStyle w:val="Titolo20"/>
              <w:spacing w:line="240" w:lineRule="auto"/>
              <w:ind w:left="11" w:firstLine="11"/>
              <w:rPr>
                <w:rFonts w:ascii="Arial Grassetto" w:hAnsi="Arial Grassetto"/>
              </w:rPr>
            </w:pPr>
            <w:r>
              <w:rPr>
                <w:rFonts w:ascii="Arial Grassetto" w:hAnsi="Arial Grassetto"/>
              </w:rPr>
              <w:t xml:space="preserve">LE NOVITÀ APPLICABILI AL CPB 2025-2026 </w:t>
            </w:r>
          </w:p>
          <w:p>
            <w:pPr>
              <w:pStyle w:val="Titolo20"/>
              <w:spacing w:line="240" w:lineRule="auto"/>
              <w:ind w:left="11" w:firstLine="11"/>
              <w:rPr>
                <w:rFonts w:ascii="Arial Grassetto" w:hAnsi="Arial Grassetto"/>
                <w:spacing w:val="0"/>
              </w:rPr>
            </w:pPr>
            <w:r>
              <w:rPr>
                <w:rFonts w:ascii="Arial Grassetto" w:hAnsi="Arial Grassetto"/>
              </w:rPr>
              <w:t>DOPO IL DECRETO CORRETTIVO</w:t>
            </w:r>
          </w:p>
        </w:tc>
      </w:tr>
    </w:tbl>
    <w:p>
      <w:pPr>
        <w:spacing w:before="120" w:after="60" w:line="240" w:lineRule="auto"/>
        <w:jc w:val="both"/>
        <w:rPr>
          <w:rFonts w:ascii="Arial" w:hAnsi="Arial" w:cs="Arial"/>
          <w:color w:val="000000"/>
        </w:rPr>
      </w:pPr>
      <w:r>
        <w:rPr>
          <w:rFonts w:ascii="Arial" w:hAnsi="Arial" w:cs="Arial"/>
        </w:rPr>
        <w:t>In data 4.6.2025 il Consiglio dei Ministri ha approvato in via definitiva il (secondo) Decreto correttivo della Riforma fiscale, attualmente in corso di pubblicazione sulla G.U.. Con riferimento al concordato preventivo, oltre alla conferma delle disposizioni contenute nella versione originaria, sono state introdotte alcune novità, di seguito evidenziate.</w:t>
      </w:r>
    </w:p>
    <w:p>
      <w:pPr>
        <w:pStyle w:val="TITOLOMANFREDI"/>
        <w:spacing w:before="180"/>
        <w:rPr>
          <w:rFonts w:ascii="Arial Grassetto" w:hAnsi="Arial Grassetto"/>
          <w:caps/>
        </w:rPr>
      </w:pPr>
      <w:r>
        <w:rPr>
          <w:rFonts w:ascii="Arial Grassetto" w:hAnsi="Arial Grassetto"/>
          <w:caps/>
        </w:rPr>
        <w:lastRenderedPageBreak/>
        <w:t xml:space="preserve">Abrogazione CONCORDATO CONTRIBUENTI forfetari </w:t>
      </w:r>
    </w:p>
    <w:p>
      <w:pPr>
        <w:pStyle w:val="Corpotesto"/>
        <w:spacing w:line="240" w:lineRule="auto"/>
        <w:jc w:val="both"/>
        <w:rPr>
          <w:rFonts w:ascii="Arial" w:hAnsi="Arial" w:cs="Arial"/>
        </w:rPr>
      </w:pPr>
      <w:r>
        <w:rPr>
          <w:rFonts w:ascii="Arial" w:hAnsi="Arial" w:cs="Arial"/>
        </w:rPr>
        <w:t xml:space="preserve">Come previsto dall’art. 7 del Decreto in esame, è confermata l’abrogazione, </w:t>
      </w:r>
      <w:r>
        <w:rPr>
          <w:rFonts w:ascii="Arial" w:hAnsi="Arial" w:cs="Arial"/>
          <w:b/>
          <w:bCs/>
        </w:rPr>
        <w:t>a decorrere dall’1.1.2025</w:t>
      </w:r>
      <w:r>
        <w:rPr>
          <w:rFonts w:ascii="Arial" w:hAnsi="Arial" w:cs="Arial"/>
        </w:rPr>
        <w:t xml:space="preserve">, degli artt. da 23 a 33, D.Lgs. n. 13/2024, contenenti la disciplina del concordato preventivo per i contribuenti forfetari. </w:t>
      </w:r>
    </w:p>
    <w:p>
      <w:pPr>
        <w:pStyle w:val="TITOLOMANFREDI"/>
        <w:spacing w:before="180"/>
        <w:rPr>
          <w:rFonts w:ascii="Arial Grassetto" w:hAnsi="Arial Grassetto"/>
          <w:caps/>
        </w:rPr>
      </w:pPr>
      <w:r>
        <w:rPr>
          <w:rFonts w:ascii="Arial Grassetto" w:hAnsi="Arial Grassetto"/>
          <w:caps/>
        </w:rPr>
        <w:t xml:space="preserve">calendario AdEsIONE CPB </w:t>
      </w:r>
    </w:p>
    <w:p>
      <w:pPr>
        <w:pStyle w:val="Corpotesto"/>
        <w:spacing w:before="20" w:after="20" w:line="240" w:lineRule="auto"/>
        <w:jc w:val="both"/>
        <w:rPr>
          <w:rFonts w:ascii="Arial" w:hAnsi="Arial" w:cs="Arial"/>
          <w:spacing w:val="-2"/>
        </w:rPr>
      </w:pPr>
      <w:r>
        <w:rPr>
          <w:rFonts w:ascii="Arial" w:hAnsi="Arial" w:cs="Arial"/>
          <w:spacing w:val="-2"/>
        </w:rPr>
        <w:t>Come previsto dall’art. 11 del Decreto in esame, è confermato che l’</w:t>
      </w:r>
      <w:r>
        <w:rPr>
          <w:rFonts w:ascii="Arial" w:hAnsi="Arial" w:cs="Arial"/>
          <w:b/>
          <w:bCs/>
          <w:spacing w:val="-2"/>
        </w:rPr>
        <w:t>adesione alla proposta di concordato</w:t>
      </w:r>
      <w:r>
        <w:rPr>
          <w:rFonts w:ascii="Arial" w:hAnsi="Arial" w:cs="Arial"/>
          <w:spacing w:val="-2"/>
        </w:rPr>
        <w:t xml:space="preserve"> può essere manifestata:</w:t>
      </w:r>
    </w:p>
    <w:p>
      <w:pPr>
        <w:pStyle w:val="ScadenziarioPuntoni"/>
        <w:numPr>
          <w:ilvl w:val="0"/>
          <w:numId w:val="39"/>
        </w:numPr>
        <w:spacing w:before="20"/>
        <w:ind w:left="238" w:hanging="238"/>
        <w:rPr>
          <w:spacing w:val="-2"/>
          <w:sz w:val="22"/>
          <w:szCs w:val="22"/>
        </w:rPr>
      </w:pPr>
      <w:r>
        <w:rPr>
          <w:rFonts w:eastAsia="Calibri"/>
          <w:b/>
          <w:sz w:val="22"/>
          <w:szCs w:val="22"/>
        </w:rPr>
        <w:t>entro</w:t>
      </w:r>
      <w:r>
        <w:rPr>
          <w:b/>
          <w:bCs/>
          <w:spacing w:val="-2"/>
          <w:sz w:val="22"/>
          <w:szCs w:val="22"/>
        </w:rPr>
        <w:t xml:space="preserve"> il 30.9</w:t>
      </w:r>
      <w:r>
        <w:rPr>
          <w:spacing w:val="-2"/>
          <w:sz w:val="22"/>
          <w:szCs w:val="22"/>
        </w:rPr>
        <w:t>;</w:t>
      </w:r>
    </w:p>
    <w:p>
      <w:pPr>
        <w:pStyle w:val="Corpotesto"/>
        <w:spacing w:before="20" w:after="20" w:line="240" w:lineRule="auto"/>
        <w:jc w:val="both"/>
        <w:rPr>
          <w:rFonts w:ascii="Arial" w:hAnsi="Arial" w:cs="Arial"/>
          <w:spacing w:val="-2"/>
        </w:rPr>
      </w:pPr>
      <w:r>
        <w:rPr>
          <w:rFonts w:ascii="Arial" w:hAnsi="Arial" w:cs="Arial"/>
          <w:spacing w:val="-2"/>
        </w:rPr>
        <w:t xml:space="preserve">ovvero </w:t>
      </w:r>
    </w:p>
    <w:p>
      <w:pPr>
        <w:pStyle w:val="ScadenziarioPuntoni"/>
        <w:numPr>
          <w:ilvl w:val="0"/>
          <w:numId w:val="39"/>
        </w:numPr>
        <w:spacing w:before="20"/>
        <w:ind w:left="238" w:hanging="238"/>
        <w:rPr>
          <w:spacing w:val="-2"/>
          <w:sz w:val="22"/>
          <w:szCs w:val="22"/>
        </w:rPr>
      </w:pPr>
      <w:r>
        <w:rPr>
          <w:spacing w:val="-2"/>
          <w:sz w:val="22"/>
          <w:szCs w:val="22"/>
        </w:rPr>
        <w:t>entro l’</w:t>
      </w:r>
      <w:r>
        <w:rPr>
          <w:b/>
          <w:bCs/>
          <w:spacing w:val="-2"/>
          <w:sz w:val="22"/>
          <w:szCs w:val="22"/>
        </w:rPr>
        <w:t>ultimo giorno del nono mese successivo a quello di chiusura del periodo d’imposta</w:t>
      </w:r>
      <w:r>
        <w:rPr>
          <w:spacing w:val="-2"/>
          <w:sz w:val="22"/>
          <w:szCs w:val="22"/>
        </w:rPr>
        <w:t xml:space="preserve"> per i soggetti con periodo d’imposta non coincidente con l’anno solare.</w:t>
      </w:r>
    </w:p>
    <w:p>
      <w:pPr>
        <w:pStyle w:val="Corpotesto"/>
        <w:spacing w:before="60" w:after="20" w:line="240" w:lineRule="auto"/>
        <w:jc w:val="both"/>
        <w:rPr>
          <w:rFonts w:ascii="Arial" w:hAnsi="Arial" w:cs="Arial"/>
          <w:spacing w:val="-2"/>
        </w:rPr>
      </w:pPr>
      <w:r>
        <w:rPr>
          <w:rFonts w:ascii="Arial" w:hAnsi="Arial" w:cs="Arial"/>
          <w:spacing w:val="-2"/>
        </w:rPr>
        <w:t>L’adesione al CPB 2025-2026 può avvenire, entro il 30.9.2025:</w:t>
      </w:r>
    </w:p>
    <w:p>
      <w:pPr>
        <w:pStyle w:val="ScadenziarioPuntoni"/>
        <w:numPr>
          <w:ilvl w:val="0"/>
          <w:numId w:val="39"/>
        </w:numPr>
        <w:spacing w:before="20"/>
        <w:ind w:left="238" w:hanging="238"/>
        <w:rPr>
          <w:spacing w:val="-2"/>
          <w:sz w:val="22"/>
          <w:szCs w:val="22"/>
        </w:rPr>
      </w:pPr>
      <w:r>
        <w:rPr>
          <w:rFonts w:eastAsia="Calibri"/>
          <w:b/>
          <w:sz w:val="22"/>
          <w:szCs w:val="22"/>
        </w:rPr>
        <w:t>congiuntamente</w:t>
      </w:r>
      <w:r>
        <w:rPr>
          <w:b/>
          <w:bCs/>
          <w:spacing w:val="-2"/>
          <w:sz w:val="22"/>
          <w:szCs w:val="22"/>
        </w:rPr>
        <w:t xml:space="preserve"> al mod. ISA nell’ambito del mod. REDDITI 2025</w:t>
      </w:r>
      <w:r>
        <w:rPr>
          <w:spacing w:val="-2"/>
          <w:sz w:val="22"/>
          <w:szCs w:val="22"/>
        </w:rPr>
        <w:t xml:space="preserve"> (in tal caso è necessario anticipare la presentazione del mod. REDDITI al 30.9 rispetto all’ordinaria scadenza del 31.10);</w:t>
      </w:r>
    </w:p>
    <w:p>
      <w:pPr>
        <w:pStyle w:val="Corpotesto"/>
        <w:spacing w:before="20" w:after="20" w:line="240" w:lineRule="auto"/>
        <w:jc w:val="both"/>
        <w:rPr>
          <w:rFonts w:ascii="Arial" w:hAnsi="Arial" w:cs="Arial"/>
          <w:spacing w:val="-2"/>
        </w:rPr>
      </w:pPr>
      <w:r>
        <w:rPr>
          <w:rFonts w:ascii="Arial" w:hAnsi="Arial" w:cs="Arial"/>
          <w:spacing w:val="-2"/>
        </w:rPr>
        <w:t>ovvero</w:t>
      </w:r>
    </w:p>
    <w:p>
      <w:pPr>
        <w:pStyle w:val="ScadenziarioPuntoni"/>
        <w:numPr>
          <w:ilvl w:val="0"/>
          <w:numId w:val="39"/>
        </w:numPr>
        <w:spacing w:before="20"/>
        <w:ind w:left="238" w:hanging="238"/>
        <w:rPr>
          <w:spacing w:val="-2"/>
          <w:sz w:val="22"/>
          <w:szCs w:val="22"/>
        </w:rPr>
      </w:pPr>
      <w:r>
        <w:rPr>
          <w:b/>
          <w:bCs/>
          <w:spacing w:val="-2"/>
          <w:sz w:val="22"/>
          <w:szCs w:val="22"/>
        </w:rPr>
        <w:t>in forma autonoma</w:t>
      </w:r>
      <w:r>
        <w:rPr>
          <w:spacing w:val="-2"/>
          <w:sz w:val="22"/>
          <w:szCs w:val="22"/>
        </w:rPr>
        <w:t>. In tal caso, il mod. CPB va inviato con il Frontespizio del mod. REDDITI 2025 indicando il codice “1” nella nuova casella “</w:t>
      </w:r>
      <w:r>
        <w:rPr>
          <w:i/>
          <w:iCs/>
          <w:spacing w:val="-2"/>
          <w:sz w:val="22"/>
          <w:szCs w:val="22"/>
        </w:rPr>
        <w:t>Comunicazione CPB</w:t>
      </w:r>
      <w:r>
        <w:rPr>
          <w:spacing w:val="-2"/>
          <w:sz w:val="22"/>
          <w:szCs w:val="22"/>
        </w:rPr>
        <w:t>”.</w:t>
      </w:r>
    </w:p>
    <w:p>
      <w:pPr>
        <w:pStyle w:val="TITOLOMANFREDI"/>
        <w:spacing w:before="180"/>
        <w:rPr>
          <w:rFonts w:ascii="Arial Grassetto" w:hAnsi="Arial Grassetto"/>
          <w:caps/>
        </w:rPr>
      </w:pPr>
      <w:r>
        <w:rPr>
          <w:rFonts w:ascii="Arial Grassetto" w:hAnsi="Arial Grassetto"/>
          <w:caps/>
        </w:rPr>
        <w:t xml:space="preserve">regime opzionale FLAT TAX INCREMENTALE </w:t>
      </w:r>
    </w:p>
    <w:p>
      <w:pPr>
        <w:pStyle w:val="Corpotesto"/>
        <w:spacing w:after="0" w:line="240" w:lineRule="auto"/>
        <w:jc w:val="both"/>
        <w:rPr>
          <w:rFonts w:ascii="Arial" w:hAnsi="Arial" w:cs="Arial"/>
        </w:rPr>
      </w:pPr>
      <w:r>
        <w:rPr>
          <w:rFonts w:ascii="Arial" w:hAnsi="Arial" w:cs="Arial"/>
        </w:rPr>
        <w:t xml:space="preserve">I soggetti che aderiscono al CPB 2025-2026 possono applicare il </w:t>
      </w:r>
      <w:r>
        <w:rPr>
          <w:rFonts w:ascii="Arial" w:hAnsi="Arial" w:cs="Arial"/>
          <w:b/>
          <w:bCs/>
        </w:rPr>
        <w:t>regime opzionale</w:t>
      </w:r>
      <w:r>
        <w:rPr>
          <w:rFonts w:ascii="Arial" w:hAnsi="Arial" w:cs="Arial"/>
        </w:rPr>
        <w:t xml:space="preserve"> previsto dall’art. 20-bis, D.Lgs. n. 13/2024, ossia la c.d. </w:t>
      </w:r>
      <w:r>
        <w:rPr>
          <w:rFonts w:ascii="Arial" w:hAnsi="Arial" w:cs="Arial"/>
          <w:b/>
          <w:bCs/>
        </w:rPr>
        <w:t>“Flat Tax incrementale”</w:t>
      </w:r>
      <w:r>
        <w:rPr>
          <w:rFonts w:ascii="Arial" w:hAnsi="Arial" w:cs="Arial"/>
        </w:rPr>
        <w:t>:</w:t>
      </w:r>
    </w:p>
    <w:p>
      <w:pPr>
        <w:pStyle w:val="ScadenziarioPuntoni"/>
        <w:numPr>
          <w:ilvl w:val="0"/>
          <w:numId w:val="39"/>
        </w:numPr>
        <w:spacing w:before="40" w:after="60"/>
        <w:ind w:left="238" w:hanging="238"/>
        <w:rPr>
          <w:sz w:val="22"/>
          <w:szCs w:val="22"/>
        </w:rPr>
      </w:pPr>
      <w:r>
        <w:rPr>
          <w:b/>
          <w:bCs/>
          <w:sz w:val="22"/>
          <w:szCs w:val="22"/>
        </w:rPr>
        <w:t>strutturata in 3 aliquote</w:t>
      </w:r>
      <w:r>
        <w:rPr>
          <w:sz w:val="22"/>
          <w:szCs w:val="22"/>
        </w:rPr>
        <w:t xml:space="preserve"> (10% - 12% - 15%) applicabili a seconda del </w:t>
      </w:r>
      <w:r>
        <w:rPr>
          <w:b/>
          <w:bCs/>
          <w:sz w:val="22"/>
          <w:szCs w:val="22"/>
        </w:rPr>
        <w:t>punteggio</w:t>
      </w:r>
      <w:r>
        <w:rPr>
          <w:sz w:val="22"/>
          <w:szCs w:val="22"/>
        </w:rPr>
        <w:t xml:space="preserve"> </w:t>
      </w:r>
      <w:r>
        <w:rPr>
          <w:b/>
          <w:bCs/>
          <w:sz w:val="22"/>
          <w:szCs w:val="22"/>
        </w:rPr>
        <w:t>ISA 2024</w:t>
      </w:r>
      <w:r>
        <w:rPr>
          <w:sz w:val="22"/>
          <w:szCs w:val="22"/>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8"/>
      </w:tblGrid>
      <w:tr>
        <w:tc>
          <w:tcPr>
            <w:tcW w:w="4677" w:type="dxa"/>
            <w:tcBorders>
              <w:top w:val="single" w:sz="4" w:space="0" w:color="auto"/>
              <w:left w:val="single" w:sz="4" w:space="0" w:color="auto"/>
              <w:bottom w:val="single" w:sz="4" w:space="0" w:color="auto"/>
              <w:right w:val="single" w:sz="4" w:space="0" w:color="auto"/>
            </w:tcBorders>
            <w:shd w:val="clear" w:color="auto" w:fill="EDF7F9"/>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b/>
                <w:bCs/>
                <w:spacing w:val="-2"/>
              </w:rPr>
              <w:t>Aliquota applicata</w:t>
            </w:r>
          </w:p>
        </w:tc>
        <w:tc>
          <w:tcPr>
            <w:tcW w:w="4678" w:type="dxa"/>
            <w:tcBorders>
              <w:top w:val="single" w:sz="4" w:space="0" w:color="auto"/>
              <w:left w:val="single" w:sz="4" w:space="0" w:color="auto"/>
              <w:bottom w:val="single" w:sz="4" w:space="0" w:color="auto"/>
              <w:right w:val="single" w:sz="4" w:space="0" w:color="auto"/>
            </w:tcBorders>
            <w:shd w:val="clear" w:color="auto" w:fill="EDF7F9"/>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b/>
                <w:bCs/>
                <w:spacing w:val="-2"/>
              </w:rPr>
              <w:t>Punteggio ISA 2024</w:t>
            </w:r>
          </w:p>
        </w:tc>
      </w:tr>
      <w:tr>
        <w:tc>
          <w:tcPr>
            <w:tcW w:w="4677"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15%</w:t>
            </w:r>
          </w:p>
        </w:tc>
        <w:tc>
          <w:tcPr>
            <w:tcW w:w="4678"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inferiore a 6</w:t>
            </w:r>
          </w:p>
        </w:tc>
      </w:tr>
      <w:tr>
        <w:tc>
          <w:tcPr>
            <w:tcW w:w="4677"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12%</w:t>
            </w:r>
          </w:p>
        </w:tc>
        <w:tc>
          <w:tcPr>
            <w:tcW w:w="4678"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pari o superiore a 6 e inferiore a 8</w:t>
            </w:r>
          </w:p>
        </w:tc>
      </w:tr>
      <w:tr>
        <w:tc>
          <w:tcPr>
            <w:tcW w:w="4677"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10%</w:t>
            </w:r>
          </w:p>
        </w:tc>
        <w:tc>
          <w:tcPr>
            <w:tcW w:w="4678"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pari o superiore a 8</w:t>
            </w:r>
          </w:p>
        </w:tc>
      </w:tr>
    </w:tbl>
    <w:p>
      <w:pPr>
        <w:pStyle w:val="ScadenziarioPuntoni"/>
        <w:numPr>
          <w:ilvl w:val="0"/>
          <w:numId w:val="39"/>
        </w:numPr>
        <w:spacing w:after="60"/>
        <w:ind w:left="238" w:hanging="238"/>
        <w:rPr>
          <w:spacing w:val="-2"/>
          <w:sz w:val="22"/>
          <w:szCs w:val="22"/>
        </w:rPr>
      </w:pPr>
      <w:r>
        <w:rPr>
          <w:spacing w:val="-2"/>
          <w:sz w:val="22"/>
          <w:szCs w:val="22"/>
        </w:rPr>
        <w:t xml:space="preserve">applicabile alla </w:t>
      </w:r>
      <w:r>
        <w:rPr>
          <w:b/>
          <w:bCs/>
          <w:spacing w:val="-2"/>
          <w:sz w:val="22"/>
          <w:szCs w:val="22"/>
        </w:rPr>
        <w:t>differenza</w:t>
      </w:r>
      <w:r>
        <w:rPr>
          <w:spacing w:val="-2"/>
          <w:sz w:val="22"/>
          <w:szCs w:val="22"/>
        </w:rPr>
        <w:t xml:space="preserve"> tra il </w:t>
      </w:r>
      <w:r>
        <w:rPr>
          <w:b/>
          <w:bCs/>
          <w:spacing w:val="-2"/>
          <w:sz w:val="22"/>
          <w:szCs w:val="22"/>
        </w:rPr>
        <w:t>reddito concordato</w:t>
      </w:r>
      <w:r>
        <w:rPr>
          <w:spacing w:val="-2"/>
          <w:sz w:val="22"/>
          <w:szCs w:val="22"/>
        </w:rPr>
        <w:t xml:space="preserve"> e quello </w:t>
      </w:r>
      <w:r>
        <w:rPr>
          <w:b/>
          <w:bCs/>
          <w:spacing w:val="-2"/>
          <w:sz w:val="22"/>
          <w:szCs w:val="22"/>
        </w:rPr>
        <w:t xml:space="preserve">dichiarato per il </w:t>
      </w:r>
      <w:r>
        <w:rPr>
          <w:spacing w:val="-2"/>
          <w:sz w:val="22"/>
          <w:szCs w:val="22"/>
        </w:rPr>
        <w:t>2024,</w:t>
      </w:r>
      <w:r>
        <w:rPr>
          <w:b/>
          <w:bCs/>
          <w:spacing w:val="-2"/>
          <w:sz w:val="22"/>
          <w:szCs w:val="22"/>
        </w:rPr>
        <w:t xml:space="preserve"> </w:t>
      </w:r>
      <w:r>
        <w:rPr>
          <w:spacing w:val="-2"/>
          <w:sz w:val="22"/>
          <w:szCs w:val="22"/>
        </w:rPr>
        <w:t>rettificato</w:t>
      </w:r>
      <w:r>
        <w:rPr>
          <w:b/>
          <w:bCs/>
          <w:spacing w:val="-2"/>
          <w:sz w:val="22"/>
          <w:szCs w:val="22"/>
        </w:rPr>
        <w:t xml:space="preserve"> </w:t>
      </w:r>
      <w:r>
        <w:rPr>
          <w:spacing w:val="-2"/>
          <w:sz w:val="22"/>
          <w:szCs w:val="22"/>
        </w:rPr>
        <w:t xml:space="preserve">ai sensi degli artt. 15 e 16, D.Lgs. n. 13/2024, ossia al netto delle componenti straordinarie (plus / minusvalenze, sopravvenienze, perdite su crediti, ecc.).  </w:t>
      </w:r>
    </w:p>
    <w:p>
      <w:pPr>
        <w:pStyle w:val="Corpotesto"/>
        <w:spacing w:after="20" w:line="240" w:lineRule="auto"/>
        <w:jc w:val="both"/>
        <w:rPr>
          <w:rFonts w:ascii="Arial" w:hAnsi="Arial" w:cs="Arial"/>
        </w:rPr>
      </w:pPr>
      <w:r>
        <w:rPr>
          <w:rFonts w:ascii="Arial" w:hAnsi="Arial" w:cs="Arial"/>
        </w:rPr>
        <w:t>Con l’art. 8 del Decreto in esame è confermata la modifica del citato art. 20-bis a seguito della quale,</w:t>
      </w:r>
      <w:r>
        <w:rPr>
          <w:rFonts w:ascii="Arial" w:hAnsi="Arial" w:cs="Arial"/>
          <w:b/>
          <w:bCs/>
        </w:rPr>
        <w:t xml:space="preserve"> a partire dalle adesioni al CPB 2025-2026</w:t>
      </w:r>
      <w:r>
        <w:rPr>
          <w:rFonts w:ascii="Arial" w:hAnsi="Arial" w:cs="Arial"/>
        </w:rPr>
        <w:t xml:space="preserve">, purché non esercitate prima dell’entrata in vigore del Decreto, la Flat Tax incrementale è </w:t>
      </w:r>
      <w:r>
        <w:rPr>
          <w:rFonts w:ascii="Arial" w:hAnsi="Arial" w:cs="Arial"/>
          <w:b/>
          <w:bCs/>
        </w:rPr>
        <w:t>applicabile nei limiti di un’eccedenza non superiore a € 85.000</w:t>
      </w:r>
      <w:r>
        <w:rPr>
          <w:rFonts w:ascii="Arial" w:hAnsi="Arial" w:cs="Arial"/>
        </w:rPr>
        <w:t>. In tal caso,</w:t>
      </w:r>
      <w:r>
        <w:rPr>
          <w:rFonts w:ascii="Arial" w:hAnsi="Arial" w:cs="Arial"/>
          <w:b/>
          <w:bCs/>
        </w:rPr>
        <w:t xml:space="preserve"> limitatamente alla parte che supera tale somma</w:t>
      </w:r>
      <w:r>
        <w:rPr>
          <w:rFonts w:ascii="Arial" w:hAnsi="Arial" w:cs="Arial"/>
        </w:rPr>
        <w:t xml:space="preserve"> l’imposta sostitutiva va applicata nelle seguenti misure:</w:t>
      </w:r>
    </w:p>
    <w:p>
      <w:pPr>
        <w:pStyle w:val="ScadenziarioPuntoni"/>
        <w:numPr>
          <w:ilvl w:val="0"/>
          <w:numId w:val="39"/>
        </w:numPr>
        <w:spacing w:before="0"/>
        <w:ind w:left="238" w:hanging="238"/>
        <w:rPr>
          <w:spacing w:val="-2"/>
          <w:sz w:val="22"/>
          <w:szCs w:val="22"/>
        </w:rPr>
      </w:pPr>
      <w:r>
        <w:rPr>
          <w:b/>
          <w:bCs/>
          <w:sz w:val="22"/>
          <w:szCs w:val="22"/>
        </w:rPr>
        <w:t>43</w:t>
      </w:r>
      <w:r>
        <w:rPr>
          <w:b/>
          <w:bCs/>
          <w:spacing w:val="-2"/>
          <w:sz w:val="22"/>
          <w:szCs w:val="22"/>
        </w:rPr>
        <w:t>%</w:t>
      </w:r>
      <w:r>
        <w:rPr>
          <w:spacing w:val="-2"/>
          <w:sz w:val="22"/>
          <w:szCs w:val="22"/>
        </w:rPr>
        <w:t xml:space="preserve"> per i soggetti IRPEF;</w:t>
      </w:r>
    </w:p>
    <w:p>
      <w:pPr>
        <w:pStyle w:val="ScadenziarioPuntoni"/>
        <w:numPr>
          <w:ilvl w:val="0"/>
          <w:numId w:val="39"/>
        </w:numPr>
        <w:spacing w:before="0" w:after="60"/>
        <w:ind w:left="238" w:hanging="238"/>
        <w:rPr>
          <w:spacing w:val="-2"/>
          <w:sz w:val="22"/>
          <w:szCs w:val="22"/>
        </w:rPr>
      </w:pPr>
      <w:r>
        <w:rPr>
          <w:b/>
          <w:bCs/>
          <w:spacing w:val="-2"/>
          <w:sz w:val="22"/>
          <w:szCs w:val="22"/>
        </w:rPr>
        <w:t>24%</w:t>
      </w:r>
      <w:r>
        <w:rPr>
          <w:spacing w:val="-2"/>
          <w:sz w:val="22"/>
          <w:szCs w:val="22"/>
        </w:rPr>
        <w:t xml:space="preserve"> per i soggetti IRES.</w:t>
      </w:r>
    </w:p>
    <w:p>
      <w:pPr>
        <w:pStyle w:val="Corpotesto"/>
        <w:spacing w:line="240" w:lineRule="auto"/>
        <w:jc w:val="both"/>
        <w:rPr>
          <w:rFonts w:ascii="Arial" w:hAnsi="Arial" w:cs="Arial"/>
        </w:rPr>
      </w:pPr>
      <w:r>
        <w:rPr>
          <w:rFonts w:ascii="Arial" w:hAnsi="Arial" w:cs="Arial"/>
        </w:rPr>
        <w:t xml:space="preserve">Con riferimento ai soggetti “trasparenti” la verifica del superamento del predetto limite di € 85.000 va effettuata considerando il </w:t>
      </w:r>
      <w:r>
        <w:rPr>
          <w:rFonts w:ascii="Arial" w:hAnsi="Arial" w:cs="Arial"/>
          <w:b/>
          <w:bCs/>
        </w:rPr>
        <w:t>reddito accettato dalla società di persone / associazione professionale / srl trasparente</w:t>
      </w:r>
      <w:r>
        <w:rPr>
          <w:rFonts w:ascii="Arial" w:hAnsi="Arial" w:cs="Arial"/>
        </w:rPr>
        <w:t xml:space="preserve">. </w:t>
      </w:r>
    </w:p>
    <w:p>
      <w:pPr>
        <w:pStyle w:val="TITOLOMANFREDI"/>
        <w:rPr>
          <w:rFonts w:ascii="Arial Grassetto" w:hAnsi="Arial Grassetto"/>
          <w:caps/>
        </w:rPr>
      </w:pPr>
      <w:r>
        <w:rPr>
          <w:rFonts w:ascii="Arial Grassetto" w:hAnsi="Arial Grassetto"/>
          <w:caps/>
        </w:rPr>
        <w:t xml:space="preserve">NUOVE cause di esclusione dAl CPB </w:t>
      </w:r>
    </w:p>
    <w:p>
      <w:pPr>
        <w:pStyle w:val="Corpotesto"/>
        <w:spacing w:after="60" w:line="240" w:lineRule="auto"/>
        <w:jc w:val="both"/>
        <w:rPr>
          <w:rFonts w:ascii="Arial" w:hAnsi="Arial" w:cs="Arial"/>
          <w:spacing w:val="-2"/>
        </w:rPr>
      </w:pPr>
      <w:r>
        <w:rPr>
          <w:rFonts w:ascii="Arial" w:hAnsi="Arial" w:cs="Arial"/>
          <w:spacing w:val="-2"/>
        </w:rPr>
        <w:t xml:space="preserve">Ai sensi dell’art. 11, D.Lgs. n. 13/2024, </w:t>
      </w:r>
      <w:r>
        <w:rPr>
          <w:rFonts w:ascii="Arial" w:hAnsi="Arial" w:cs="Arial"/>
          <w:b/>
          <w:bCs/>
          <w:spacing w:val="-2"/>
        </w:rPr>
        <w:t xml:space="preserve">non possono accedere al CPB </w:t>
      </w:r>
      <w:r>
        <w:rPr>
          <w:rFonts w:ascii="Arial" w:hAnsi="Arial" w:cs="Arial"/>
          <w:spacing w:val="-2"/>
        </w:rPr>
        <w:t xml:space="preserve">i soggetti per i quali sussiste una delle seguenti </w:t>
      </w:r>
      <w:r>
        <w:rPr>
          <w:rFonts w:ascii="Arial" w:hAnsi="Arial" w:cs="Arial"/>
          <w:b/>
          <w:bCs/>
          <w:spacing w:val="-2"/>
        </w:rPr>
        <w:t>cause di esclusione</w:t>
      </w:r>
      <w:r>
        <w:rPr>
          <w:rFonts w:ascii="Arial" w:hAnsi="Arial" w:cs="Arial"/>
          <w:spacing w:val="-2"/>
        </w:rPr>
        <w:t>:</w:t>
      </w:r>
    </w:p>
    <w:p>
      <w:pPr>
        <w:pStyle w:val="ScadenziarioPuntoni"/>
        <w:numPr>
          <w:ilvl w:val="0"/>
          <w:numId w:val="39"/>
        </w:numPr>
        <w:spacing w:after="60"/>
        <w:ind w:left="238" w:hanging="238"/>
        <w:rPr>
          <w:spacing w:val="-2"/>
          <w:sz w:val="22"/>
          <w:szCs w:val="22"/>
        </w:rPr>
      </w:pPr>
      <w:r>
        <w:rPr>
          <w:b/>
          <w:bCs/>
          <w:sz w:val="22"/>
          <w:szCs w:val="22"/>
        </w:rPr>
        <w:t>omessa</w:t>
      </w:r>
      <w:r>
        <w:rPr>
          <w:b/>
          <w:bCs/>
          <w:spacing w:val="-2"/>
          <w:sz w:val="22"/>
          <w:szCs w:val="22"/>
        </w:rPr>
        <w:t xml:space="preserve"> presentazione della dichiarazione dei redditi in</w:t>
      </w:r>
      <w:r>
        <w:rPr>
          <w:spacing w:val="-2"/>
          <w:sz w:val="22"/>
          <w:szCs w:val="22"/>
        </w:rPr>
        <w:t xml:space="preserve"> </w:t>
      </w:r>
      <w:r>
        <w:rPr>
          <w:b/>
          <w:bCs/>
          <w:spacing w:val="-2"/>
          <w:sz w:val="22"/>
          <w:szCs w:val="22"/>
        </w:rPr>
        <w:t xml:space="preserve">uno dei 3 anni precedenti </w:t>
      </w:r>
      <w:r>
        <w:rPr>
          <w:spacing w:val="-2"/>
          <w:sz w:val="22"/>
          <w:szCs w:val="22"/>
        </w:rPr>
        <w:t>a quelli di applicazione del concordato (ossia, 2024 - 2023 - 2022);</w:t>
      </w:r>
    </w:p>
    <w:p>
      <w:pPr>
        <w:pStyle w:val="ScadenziarioPuntoni"/>
        <w:numPr>
          <w:ilvl w:val="0"/>
          <w:numId w:val="39"/>
        </w:numPr>
        <w:spacing w:after="60"/>
        <w:ind w:left="238" w:hanging="238"/>
        <w:rPr>
          <w:spacing w:val="-2"/>
          <w:sz w:val="22"/>
          <w:szCs w:val="22"/>
        </w:rPr>
      </w:pPr>
      <w:r>
        <w:rPr>
          <w:b/>
          <w:bCs/>
          <w:spacing w:val="-2"/>
          <w:sz w:val="22"/>
          <w:szCs w:val="22"/>
        </w:rPr>
        <w:t xml:space="preserve">condanna per reati in materia di imposte sui redditi e IVA </w:t>
      </w:r>
      <w:r>
        <w:rPr>
          <w:spacing w:val="-2"/>
          <w:sz w:val="22"/>
          <w:szCs w:val="22"/>
        </w:rPr>
        <w:t xml:space="preserve">di cui al D.Lgs. n. 74/2000, </w:t>
      </w:r>
      <w:r>
        <w:rPr>
          <w:b/>
          <w:bCs/>
          <w:spacing w:val="-2"/>
          <w:sz w:val="22"/>
          <w:szCs w:val="22"/>
        </w:rPr>
        <w:t xml:space="preserve">false comunicazioni sociali </w:t>
      </w:r>
      <w:r>
        <w:rPr>
          <w:spacing w:val="-2"/>
          <w:sz w:val="22"/>
          <w:szCs w:val="22"/>
        </w:rPr>
        <w:t xml:space="preserve">ex art. 2621, C.c., </w:t>
      </w:r>
      <w:r>
        <w:rPr>
          <w:b/>
          <w:bCs/>
          <w:spacing w:val="-2"/>
          <w:sz w:val="22"/>
          <w:szCs w:val="22"/>
        </w:rPr>
        <w:t>riciclaggio / impiego di denaro</w:t>
      </w:r>
      <w:r>
        <w:rPr>
          <w:spacing w:val="-2"/>
          <w:sz w:val="22"/>
          <w:szCs w:val="22"/>
        </w:rPr>
        <w:t xml:space="preserve">, </w:t>
      </w:r>
      <w:r>
        <w:rPr>
          <w:b/>
          <w:bCs/>
          <w:spacing w:val="-2"/>
          <w:sz w:val="22"/>
          <w:szCs w:val="22"/>
        </w:rPr>
        <w:t>beni o utilità di provenienza illecita / autoriciclaggio</w:t>
      </w:r>
      <w:r>
        <w:rPr>
          <w:spacing w:val="-2"/>
          <w:sz w:val="22"/>
          <w:szCs w:val="22"/>
        </w:rPr>
        <w:t xml:space="preserve"> ex artt. 648-bis, 648-ter e 648-ter 1, C.p.c., </w:t>
      </w:r>
      <w:r>
        <w:rPr>
          <w:b/>
          <w:bCs/>
          <w:spacing w:val="-2"/>
          <w:sz w:val="22"/>
          <w:szCs w:val="22"/>
        </w:rPr>
        <w:t xml:space="preserve">commessi nei </w:t>
      </w:r>
      <w:r>
        <w:rPr>
          <w:b/>
          <w:bCs/>
          <w:spacing w:val="-2"/>
          <w:sz w:val="22"/>
          <w:szCs w:val="22"/>
        </w:rPr>
        <w:lastRenderedPageBreak/>
        <w:t>3 anni precedenti</w:t>
      </w:r>
      <w:r>
        <w:rPr>
          <w:spacing w:val="-2"/>
          <w:sz w:val="22"/>
          <w:szCs w:val="22"/>
        </w:rPr>
        <w:t xml:space="preserve"> </w:t>
      </w:r>
      <w:r>
        <w:rPr>
          <w:b/>
          <w:bCs/>
          <w:spacing w:val="-2"/>
          <w:sz w:val="22"/>
          <w:szCs w:val="22"/>
        </w:rPr>
        <w:t xml:space="preserve">a quelli di applicazione del concordato </w:t>
      </w:r>
      <w:r>
        <w:rPr>
          <w:spacing w:val="-2"/>
          <w:sz w:val="22"/>
          <w:szCs w:val="22"/>
        </w:rPr>
        <w:t>(2024 - 2023 - 2022);</w:t>
      </w:r>
    </w:p>
    <w:p>
      <w:pPr>
        <w:pStyle w:val="ScadenziarioPuntoni"/>
        <w:numPr>
          <w:ilvl w:val="0"/>
          <w:numId w:val="39"/>
        </w:numPr>
        <w:spacing w:after="60"/>
        <w:ind w:left="238" w:hanging="238"/>
        <w:rPr>
          <w:spacing w:val="-2"/>
          <w:sz w:val="22"/>
          <w:szCs w:val="22"/>
        </w:rPr>
      </w:pPr>
      <w:r>
        <w:rPr>
          <w:spacing w:val="-2"/>
          <w:sz w:val="22"/>
          <w:szCs w:val="22"/>
        </w:rPr>
        <w:t xml:space="preserve">con riferimento al periodo d’imposta precedente (2024) al biennio concordato, aver conseguito, nell’esercizio d’impresa / lavoro autonomo, redditi / quote di redditi, comunque denominati, in tutto o in parte, </w:t>
      </w:r>
      <w:r>
        <w:rPr>
          <w:b/>
          <w:bCs/>
          <w:spacing w:val="-2"/>
          <w:sz w:val="22"/>
          <w:szCs w:val="22"/>
        </w:rPr>
        <w:t>esenti</w:t>
      </w:r>
      <w:r>
        <w:rPr>
          <w:spacing w:val="-2"/>
          <w:sz w:val="22"/>
          <w:szCs w:val="22"/>
        </w:rPr>
        <w:t>,</w:t>
      </w:r>
      <w:r>
        <w:rPr>
          <w:b/>
          <w:bCs/>
          <w:spacing w:val="-2"/>
          <w:sz w:val="22"/>
          <w:szCs w:val="22"/>
        </w:rPr>
        <w:t xml:space="preserve"> esclusi o non concorrenti alla base imponibile</w:t>
      </w:r>
      <w:r>
        <w:rPr>
          <w:spacing w:val="-2"/>
          <w:sz w:val="22"/>
          <w:szCs w:val="22"/>
        </w:rPr>
        <w:t>,</w:t>
      </w:r>
      <w:r>
        <w:rPr>
          <w:b/>
          <w:bCs/>
          <w:spacing w:val="-2"/>
          <w:sz w:val="22"/>
          <w:szCs w:val="22"/>
        </w:rPr>
        <w:t xml:space="preserve"> in</w:t>
      </w:r>
      <w:r>
        <w:rPr>
          <w:spacing w:val="-2"/>
          <w:sz w:val="22"/>
          <w:szCs w:val="22"/>
        </w:rPr>
        <w:t xml:space="preserve"> </w:t>
      </w:r>
      <w:r>
        <w:rPr>
          <w:b/>
          <w:bCs/>
          <w:spacing w:val="-2"/>
          <w:sz w:val="22"/>
          <w:szCs w:val="22"/>
        </w:rPr>
        <w:t>misura superiore al 40%</w:t>
      </w:r>
      <w:r>
        <w:rPr>
          <w:spacing w:val="-2"/>
          <w:sz w:val="22"/>
          <w:szCs w:val="22"/>
        </w:rPr>
        <w:t xml:space="preserve"> del reddito d’impresa / lavoro autonomo; </w:t>
      </w:r>
    </w:p>
    <w:p>
      <w:pPr>
        <w:pStyle w:val="ScadenziarioPuntoni"/>
        <w:numPr>
          <w:ilvl w:val="0"/>
          <w:numId w:val="39"/>
        </w:numPr>
        <w:spacing w:after="60"/>
        <w:ind w:left="238" w:hanging="238"/>
        <w:rPr>
          <w:spacing w:val="-2"/>
          <w:sz w:val="22"/>
          <w:szCs w:val="22"/>
        </w:rPr>
      </w:pPr>
      <w:r>
        <w:rPr>
          <w:b/>
          <w:bCs/>
          <w:spacing w:val="-2"/>
          <w:sz w:val="22"/>
          <w:szCs w:val="22"/>
        </w:rPr>
        <w:t>adesione</w:t>
      </w:r>
      <w:r>
        <w:rPr>
          <w:spacing w:val="-2"/>
          <w:sz w:val="22"/>
          <w:szCs w:val="22"/>
        </w:rPr>
        <w:t xml:space="preserve">, per il primo periodo d’imposta oggetto del concordato (2025), al </w:t>
      </w:r>
      <w:r>
        <w:rPr>
          <w:b/>
          <w:bCs/>
          <w:spacing w:val="-2"/>
          <w:sz w:val="22"/>
          <w:szCs w:val="22"/>
        </w:rPr>
        <w:t>regime forfetario</w:t>
      </w:r>
      <w:r>
        <w:rPr>
          <w:spacing w:val="-2"/>
          <w:sz w:val="22"/>
          <w:szCs w:val="22"/>
        </w:rPr>
        <w:t xml:space="preserve"> (ossia, in caso di passaggio dal regime ordinario al regime forfetario nel 2025);</w:t>
      </w:r>
    </w:p>
    <w:p>
      <w:pPr>
        <w:pStyle w:val="ScadenziarioPuntoni"/>
        <w:numPr>
          <w:ilvl w:val="0"/>
          <w:numId w:val="39"/>
        </w:numPr>
        <w:spacing w:after="60"/>
        <w:ind w:left="238" w:hanging="238"/>
        <w:rPr>
          <w:spacing w:val="-2"/>
          <w:sz w:val="22"/>
          <w:szCs w:val="22"/>
        </w:rPr>
      </w:pPr>
      <w:r>
        <w:rPr>
          <w:spacing w:val="-2"/>
          <w:sz w:val="22"/>
          <w:szCs w:val="22"/>
        </w:rPr>
        <w:t xml:space="preserve">nel primo anno cui si riferisce la proposta di concordato la società è </w:t>
      </w:r>
      <w:r>
        <w:rPr>
          <w:b/>
          <w:bCs/>
          <w:spacing w:val="-2"/>
          <w:sz w:val="22"/>
          <w:szCs w:val="22"/>
        </w:rPr>
        <w:t>interessata da un’operazione di fusione, scissione, conferimento</w:t>
      </w:r>
      <w:r>
        <w:rPr>
          <w:spacing w:val="-2"/>
          <w:sz w:val="22"/>
          <w:szCs w:val="22"/>
        </w:rPr>
        <w:t xml:space="preserve">, ovvero, la società di persone / associazione professionale ex art. 5, TUIR è interessata da </w:t>
      </w:r>
      <w:r>
        <w:rPr>
          <w:b/>
          <w:bCs/>
          <w:spacing w:val="-2"/>
          <w:sz w:val="22"/>
          <w:szCs w:val="22"/>
        </w:rPr>
        <w:t xml:space="preserve">modifiche della compagine sociale </w:t>
      </w:r>
      <w:r>
        <w:rPr>
          <w:spacing w:val="-2"/>
          <w:sz w:val="22"/>
          <w:szCs w:val="22"/>
        </w:rPr>
        <w:t>che ne aumentano il numero dei soci / associati, fatto salvo il subentro di 2 o più eredi in caso di decesso del socio / associato.</w:t>
      </w:r>
    </w:p>
    <w:p>
      <w:pPr>
        <w:pStyle w:val="Corpotesto"/>
        <w:spacing w:after="0" w:line="240" w:lineRule="auto"/>
        <w:jc w:val="both"/>
        <w:rPr>
          <w:rFonts w:ascii="Arial" w:hAnsi="Arial" w:cs="Arial"/>
          <w:b/>
          <w:bCs/>
          <w:spacing w:val="-2"/>
        </w:rPr>
      </w:pPr>
      <w:r>
        <w:rPr>
          <w:rFonts w:ascii="Arial" w:hAnsi="Arial" w:cs="Arial"/>
          <w:spacing w:val="-2"/>
        </w:rPr>
        <w:t>Con la lett. a) del comma 1 dell’art. 9 del Decreto in esame è confermata la modifica del citato art. 11, con l’introduzione delle seguenti</w:t>
      </w:r>
      <w:r>
        <w:rPr>
          <w:rFonts w:ascii="Arial" w:hAnsi="Arial" w:cs="Arial"/>
          <w:b/>
          <w:bCs/>
          <w:spacing w:val="-2"/>
        </w:rPr>
        <w:t xml:space="preserve"> 2</w:t>
      </w:r>
      <w:r>
        <w:rPr>
          <w:rFonts w:ascii="Arial" w:hAnsi="Arial" w:cs="Arial"/>
          <w:spacing w:val="-2"/>
        </w:rPr>
        <w:t xml:space="preserve"> </w:t>
      </w:r>
      <w:r>
        <w:rPr>
          <w:rFonts w:ascii="Arial" w:hAnsi="Arial" w:cs="Arial"/>
          <w:b/>
          <w:bCs/>
          <w:spacing w:val="-2"/>
        </w:rPr>
        <w:t>nuove cause di esclusione</w:t>
      </w:r>
      <w:r>
        <w:rPr>
          <w:rFonts w:ascii="Arial" w:hAnsi="Arial" w:cs="Arial"/>
          <w:spacing w:val="-2"/>
        </w:rPr>
        <w:t xml:space="preserve">, applicabili </w:t>
      </w:r>
      <w:r>
        <w:rPr>
          <w:rFonts w:ascii="Arial" w:hAnsi="Arial" w:cs="Arial"/>
          <w:b/>
          <w:bCs/>
          <w:spacing w:val="-2"/>
        </w:rPr>
        <w:t>a decorrere dall’adesione al CPB 2025-2026</w:t>
      </w:r>
      <w:r>
        <w:rPr>
          <w:rFonts w:ascii="Arial" w:hAnsi="Arial" w:cs="Arial"/>
          <w:spacing w:val="-2"/>
        </w:rPr>
        <w:t>, purché non esercitate prima dell’entrata in vigore del Decreto:</w:t>
      </w:r>
    </w:p>
    <w:p>
      <w:pPr>
        <w:pStyle w:val="ScadenziarioPuntoni"/>
        <w:numPr>
          <w:ilvl w:val="0"/>
          <w:numId w:val="39"/>
        </w:numPr>
        <w:spacing w:before="0" w:after="60"/>
        <w:ind w:left="238" w:hanging="238"/>
        <w:rPr>
          <w:spacing w:val="-2"/>
          <w:sz w:val="22"/>
          <w:szCs w:val="22"/>
        </w:rPr>
      </w:pPr>
      <w:r>
        <w:rPr>
          <w:spacing w:val="-2"/>
          <w:sz w:val="22"/>
          <w:szCs w:val="22"/>
        </w:rPr>
        <w:t xml:space="preserve">con riferimento al periodo d’imposta precedente (2024) al biennio concordato, il contribuente </w:t>
      </w:r>
      <w:r>
        <w:rPr>
          <w:b/>
          <w:bCs/>
          <w:spacing w:val="-2"/>
          <w:sz w:val="22"/>
          <w:szCs w:val="22"/>
        </w:rPr>
        <w:t>dichiara individualmente redditi di lavoro autonomo</w:t>
      </w:r>
      <w:r>
        <w:rPr>
          <w:spacing w:val="-2"/>
          <w:sz w:val="22"/>
          <w:szCs w:val="22"/>
        </w:rPr>
        <w:t xml:space="preserve"> e </w:t>
      </w:r>
      <w:r>
        <w:rPr>
          <w:b/>
          <w:bCs/>
          <w:spacing w:val="-2"/>
          <w:sz w:val="22"/>
          <w:szCs w:val="22"/>
        </w:rPr>
        <w:t>contemporaneamente</w:t>
      </w:r>
      <w:r>
        <w:rPr>
          <w:spacing w:val="-2"/>
          <w:sz w:val="22"/>
          <w:szCs w:val="22"/>
        </w:rPr>
        <w:t xml:space="preserve"> partecipa a un’</w:t>
      </w:r>
      <w:r>
        <w:rPr>
          <w:b/>
          <w:bCs/>
          <w:spacing w:val="-2"/>
          <w:sz w:val="22"/>
          <w:szCs w:val="22"/>
        </w:rPr>
        <w:t>associazione professionale</w:t>
      </w:r>
      <w:r>
        <w:rPr>
          <w:spacing w:val="-2"/>
          <w:sz w:val="22"/>
          <w:szCs w:val="22"/>
        </w:rPr>
        <w:t xml:space="preserve"> di cui all’art. 5, comma 3, lett. c), TUIR / </w:t>
      </w:r>
      <w:r>
        <w:rPr>
          <w:b/>
          <w:bCs/>
          <w:spacing w:val="-2"/>
          <w:sz w:val="22"/>
          <w:szCs w:val="22"/>
        </w:rPr>
        <w:t>STP</w:t>
      </w:r>
      <w:r>
        <w:rPr>
          <w:spacing w:val="-2"/>
          <w:sz w:val="22"/>
          <w:szCs w:val="22"/>
        </w:rPr>
        <w:t xml:space="preserve"> di cui all’art. 10, Legge n. 183/2011 / </w:t>
      </w:r>
      <w:r>
        <w:rPr>
          <w:b/>
          <w:bCs/>
          <w:spacing w:val="-2"/>
          <w:sz w:val="22"/>
          <w:szCs w:val="22"/>
        </w:rPr>
        <w:t>società tra avvocati</w:t>
      </w:r>
      <w:r>
        <w:rPr>
          <w:spacing w:val="-2"/>
          <w:sz w:val="22"/>
          <w:szCs w:val="22"/>
        </w:rPr>
        <w:t xml:space="preserve"> di cui all’art. 4-bis, Legge n. 247/2012; </w:t>
      </w:r>
    </w:p>
    <w:p>
      <w:pPr>
        <w:numPr>
          <w:ilvl w:val="0"/>
          <w:numId w:val="40"/>
        </w:numPr>
        <w:suppressAutoHyphens/>
        <w:autoSpaceDE w:val="0"/>
        <w:autoSpaceDN w:val="0"/>
        <w:adjustRightInd w:val="0"/>
        <w:spacing w:before="40" w:after="60" w:line="240" w:lineRule="auto"/>
        <w:ind w:left="244" w:hanging="244"/>
        <w:jc w:val="both"/>
        <w:rPr>
          <w:rFonts w:ascii="Arial" w:eastAsia="Times New Roman" w:hAnsi="Arial" w:cs="Arial"/>
        </w:rPr>
      </w:pPr>
      <w:r>
        <w:rPr>
          <w:rFonts w:ascii="Arial" w:hAnsi="Arial" w:cs="Arial"/>
          <w:b/>
          <w:bCs/>
          <w:spacing w:val="-2"/>
        </w:rPr>
        <w:t>associazione professionale</w:t>
      </w:r>
      <w:r>
        <w:rPr>
          <w:rFonts w:ascii="Arial" w:hAnsi="Arial" w:cs="Arial"/>
          <w:spacing w:val="-2"/>
        </w:rPr>
        <w:t xml:space="preserve"> di cui all’art. 5, comma 3, lett. c), TUIR / </w:t>
      </w:r>
      <w:r>
        <w:rPr>
          <w:rFonts w:ascii="Arial" w:hAnsi="Arial" w:cs="Arial"/>
          <w:b/>
          <w:bCs/>
          <w:spacing w:val="-2"/>
        </w:rPr>
        <w:t>STP</w:t>
      </w:r>
      <w:r>
        <w:rPr>
          <w:rFonts w:ascii="Arial" w:hAnsi="Arial" w:cs="Arial"/>
          <w:spacing w:val="-2"/>
        </w:rPr>
        <w:t xml:space="preserve"> di cui all’art. 10, Legge n. 183/2011 /</w:t>
      </w:r>
      <w:r>
        <w:rPr>
          <w:rFonts w:ascii="Arial" w:hAnsi="Arial" w:cs="Arial"/>
          <w:b/>
          <w:bCs/>
          <w:spacing w:val="-2"/>
        </w:rPr>
        <w:t xml:space="preserve"> società tra avvocati</w:t>
      </w:r>
      <w:r>
        <w:rPr>
          <w:rFonts w:ascii="Arial" w:hAnsi="Arial" w:cs="Arial"/>
          <w:spacing w:val="-2"/>
        </w:rPr>
        <w:t xml:space="preserve"> di cui all’art. 4-bis, Legge n. 247/2012, nel caso in cui </w:t>
      </w:r>
      <w:r>
        <w:rPr>
          <w:rFonts w:ascii="Arial" w:hAnsi="Arial" w:cs="Arial"/>
          <w:b/>
          <w:bCs/>
          <w:spacing w:val="-2"/>
        </w:rPr>
        <w:t>non aderiscono al CPB</w:t>
      </w:r>
      <w:r>
        <w:rPr>
          <w:rFonts w:ascii="Arial" w:hAnsi="Arial" w:cs="Arial"/>
          <w:spacing w:val="-2"/>
        </w:rPr>
        <w:t>,</w:t>
      </w:r>
      <w:r>
        <w:rPr>
          <w:rFonts w:ascii="Arial" w:hAnsi="Arial" w:cs="Arial"/>
          <w:b/>
          <w:bCs/>
          <w:spacing w:val="-2"/>
        </w:rPr>
        <w:t xml:space="preserve"> nei medesimi periodi d’imposta</w:t>
      </w:r>
      <w:r>
        <w:rPr>
          <w:rFonts w:ascii="Arial" w:hAnsi="Arial" w:cs="Arial"/>
          <w:spacing w:val="-2"/>
        </w:rPr>
        <w:t>,</w:t>
      </w:r>
      <w:r>
        <w:rPr>
          <w:rFonts w:ascii="Arial" w:hAnsi="Arial" w:cs="Arial"/>
          <w:b/>
          <w:bCs/>
          <w:spacing w:val="-2"/>
        </w:rPr>
        <w:t xml:space="preserve"> tutti gli associati / soci</w:t>
      </w:r>
      <w:r>
        <w:rPr>
          <w:rFonts w:ascii="Arial" w:hAnsi="Arial" w:cs="Arial"/>
          <w:spacing w:val="-2"/>
        </w:rPr>
        <w:t xml:space="preserve"> che </w:t>
      </w:r>
      <w:r>
        <w:rPr>
          <w:rFonts w:ascii="Arial" w:hAnsi="Arial" w:cs="Arial"/>
          <w:b/>
          <w:bCs/>
          <w:spacing w:val="-2"/>
        </w:rPr>
        <w:t>dichiarano individualmente redditi di lavoro autonomo</w:t>
      </w:r>
      <w:r>
        <w:rPr>
          <w:rFonts w:ascii="Arial" w:hAnsi="Arial" w:cs="Arial"/>
          <w:spacing w:val="-2"/>
        </w:rPr>
        <w:t>.</w:t>
      </w:r>
    </w:p>
    <w:tbl>
      <w:tblPr>
        <w:tblW w:w="0" w:type="auto"/>
        <w:tblLayout w:type="fixed"/>
        <w:tblCellMar>
          <w:left w:w="0" w:type="dxa"/>
          <w:right w:w="0" w:type="dxa"/>
        </w:tblCellMar>
        <w:tblLook w:val="04A0" w:firstRow="1" w:lastRow="0" w:firstColumn="1" w:lastColumn="0" w:noHBand="0" w:noVBand="1"/>
      </w:tblPr>
      <w:tblGrid>
        <w:gridCol w:w="680"/>
        <w:gridCol w:w="8958"/>
      </w:tblGrid>
      <w:tr>
        <w:trPr>
          <w:trHeight w:val="50"/>
        </w:trPr>
        <w:tc>
          <w:tcPr>
            <w:tcW w:w="680" w:type="dxa"/>
            <w:hideMark/>
          </w:tcPr>
          <w:p>
            <w:pPr>
              <w:pStyle w:val="Nessunostileparagrafo"/>
              <w:spacing w:before="20" w:line="240" w:lineRule="auto"/>
              <w:jc w:val="both"/>
              <w:rPr>
                <w:rFonts w:ascii="Arial" w:hAnsi="Arial" w:cs="Arial"/>
                <w:sz w:val="22"/>
                <w:szCs w:val="22"/>
              </w:rPr>
            </w:pPr>
            <w:r>
              <w:rPr>
                <w:rFonts w:ascii="Arial" w:hAnsi="Arial" w:cs="Arial"/>
                <w:noProof/>
                <w:sz w:val="22"/>
                <w:szCs w:val="22"/>
              </w:rPr>
              <w:drawing>
                <wp:inline distT="0" distB="0" distL="0" distR="0">
                  <wp:extent cx="307340" cy="351155"/>
                  <wp:effectExtent l="0" t="0" r="0" b="0"/>
                  <wp:docPr id="6" name="Immagine 6" descr="Simbolo_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Simbolo_N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340" cy="351155"/>
                          </a:xfrm>
                          <a:prstGeom prst="rect">
                            <a:avLst/>
                          </a:prstGeom>
                          <a:noFill/>
                          <a:ln>
                            <a:noFill/>
                          </a:ln>
                        </pic:spPr>
                      </pic:pic>
                    </a:graphicData>
                  </a:graphic>
                </wp:inline>
              </w:drawing>
            </w:r>
          </w:p>
        </w:tc>
        <w:tc>
          <w:tcPr>
            <w:tcW w:w="8958" w:type="dxa"/>
            <w:vAlign w:val="center"/>
            <w:hideMark/>
          </w:tcPr>
          <w:p>
            <w:pPr>
              <w:pStyle w:val="Corpotesto"/>
              <w:spacing w:before="28" w:after="0" w:line="240" w:lineRule="auto"/>
              <w:jc w:val="both"/>
              <w:rPr>
                <w:rFonts w:ascii="Arial" w:hAnsi="Arial" w:cs="Arial"/>
                <w:b/>
                <w:bCs/>
              </w:rPr>
            </w:pPr>
            <w:r>
              <w:rPr>
                <w:rFonts w:ascii="Arial" w:hAnsi="Arial" w:cs="Arial"/>
                <w:spacing w:val="-2"/>
              </w:rPr>
              <w:t xml:space="preserve">Le nuove cause di esclusione </w:t>
            </w:r>
            <w:r>
              <w:rPr>
                <w:rFonts w:ascii="Arial" w:hAnsi="Arial" w:cs="Arial"/>
                <w:b/>
                <w:bCs/>
                <w:spacing w:val="-2"/>
              </w:rPr>
              <w:t>non operano se l’associazione / società partecipata aderisce al CPB</w:t>
            </w:r>
            <w:r>
              <w:rPr>
                <w:rFonts w:ascii="Arial" w:hAnsi="Arial" w:cs="Arial"/>
                <w:spacing w:val="-2"/>
              </w:rPr>
              <w:t xml:space="preserve"> per i </w:t>
            </w:r>
            <w:r>
              <w:rPr>
                <w:rFonts w:ascii="Arial" w:hAnsi="Arial" w:cs="Arial"/>
                <w:b/>
                <w:bCs/>
                <w:spacing w:val="-2"/>
              </w:rPr>
              <w:t>medesimi periodi d’imposta cui aderisce l’associato / socio</w:t>
            </w:r>
            <w:r>
              <w:rPr>
                <w:rFonts w:ascii="Arial" w:hAnsi="Arial" w:cs="Arial"/>
                <w:spacing w:val="-2"/>
              </w:rPr>
              <w:t xml:space="preserve"> o l’associato / socio aderisce al CPB per i medesimi periodi in cui aderisce l’associazione / società partecipata.</w:t>
            </w:r>
          </w:p>
        </w:tc>
      </w:tr>
    </w:tbl>
    <w:p>
      <w:pPr>
        <w:pStyle w:val="TITOLOMANFREDI"/>
        <w:spacing w:before="120"/>
        <w:rPr>
          <w:rFonts w:ascii="Arial Grassetto" w:hAnsi="Arial Grassetto"/>
          <w:caps/>
        </w:rPr>
      </w:pPr>
      <w:r>
        <w:rPr>
          <w:rFonts w:ascii="Arial Grassetto" w:hAnsi="Arial Grassetto"/>
          <w:caps/>
        </w:rPr>
        <w:t xml:space="preserve">NUOVE cause di CESSAZione dEl CPB </w:t>
      </w:r>
    </w:p>
    <w:p>
      <w:pPr>
        <w:pStyle w:val="Corpotesto"/>
        <w:spacing w:after="60" w:line="240" w:lineRule="auto"/>
        <w:jc w:val="both"/>
        <w:rPr>
          <w:rFonts w:ascii="Arial" w:hAnsi="Arial" w:cs="Arial"/>
          <w:spacing w:val="-2"/>
        </w:rPr>
      </w:pPr>
      <w:r>
        <w:rPr>
          <w:rFonts w:ascii="Arial" w:hAnsi="Arial" w:cs="Arial"/>
          <w:spacing w:val="-2"/>
        </w:rPr>
        <w:t xml:space="preserve">Come previsto dall’art. 21, D.Lgs. n. 13/2024 il </w:t>
      </w:r>
      <w:r>
        <w:rPr>
          <w:rFonts w:ascii="Arial" w:hAnsi="Arial" w:cs="Arial"/>
          <w:b/>
          <w:bCs/>
          <w:spacing w:val="-2"/>
        </w:rPr>
        <w:t>CPB cessa di avere efficacia</w:t>
      </w:r>
      <w:r>
        <w:rPr>
          <w:rFonts w:ascii="Arial" w:hAnsi="Arial" w:cs="Arial"/>
          <w:spacing w:val="-2"/>
        </w:rPr>
        <w:t xml:space="preserve"> a partire dal periodo d’imposta nel quale si verifica una delle seguenti condizioni:</w:t>
      </w:r>
    </w:p>
    <w:p>
      <w:pPr>
        <w:numPr>
          <w:ilvl w:val="0"/>
          <w:numId w:val="40"/>
        </w:numPr>
        <w:suppressAutoHyphens/>
        <w:autoSpaceDE w:val="0"/>
        <w:autoSpaceDN w:val="0"/>
        <w:adjustRightInd w:val="0"/>
        <w:spacing w:after="60" w:line="240" w:lineRule="auto"/>
        <w:ind w:left="244" w:hanging="244"/>
        <w:jc w:val="both"/>
        <w:rPr>
          <w:rFonts w:ascii="Arial" w:hAnsi="Arial" w:cs="Arial"/>
          <w:spacing w:val="-2"/>
        </w:rPr>
      </w:pPr>
      <w:r>
        <w:rPr>
          <w:rFonts w:ascii="Arial" w:hAnsi="Arial" w:cs="Arial"/>
          <w:b/>
          <w:bCs/>
          <w:spacing w:val="-2"/>
        </w:rPr>
        <w:t>modifica dell’attività esercitata nel biennio</w:t>
      </w:r>
      <w:r>
        <w:rPr>
          <w:rFonts w:ascii="Arial" w:hAnsi="Arial" w:cs="Arial"/>
          <w:spacing w:val="-2"/>
        </w:rPr>
        <w:t xml:space="preserve"> </w:t>
      </w:r>
      <w:r>
        <w:rPr>
          <w:rFonts w:ascii="Arial" w:hAnsi="Arial" w:cs="Arial"/>
          <w:b/>
          <w:bCs/>
          <w:spacing w:val="-2"/>
        </w:rPr>
        <w:t>concordatario</w:t>
      </w:r>
      <w:r>
        <w:rPr>
          <w:rFonts w:ascii="Arial" w:hAnsi="Arial" w:cs="Arial"/>
          <w:spacing w:val="-2"/>
        </w:rPr>
        <w:t xml:space="preserve"> rispetto a </w:t>
      </w:r>
      <w:r>
        <w:rPr>
          <w:rFonts w:ascii="Arial" w:hAnsi="Arial" w:cs="Arial"/>
          <w:b/>
          <w:bCs/>
          <w:spacing w:val="-2"/>
        </w:rPr>
        <w:t xml:space="preserve">quella del periodo d’imposta precedente </w:t>
      </w:r>
      <w:r>
        <w:rPr>
          <w:rFonts w:ascii="Arial" w:hAnsi="Arial" w:cs="Arial"/>
          <w:spacing w:val="-2"/>
        </w:rPr>
        <w:t>(2024), salvo che per la nuova attività sia prevista l’</w:t>
      </w:r>
      <w:r>
        <w:rPr>
          <w:rFonts w:ascii="Arial" w:hAnsi="Arial" w:cs="Arial"/>
          <w:b/>
          <w:bCs/>
          <w:spacing w:val="-2"/>
        </w:rPr>
        <w:t>applicazione dello stesso ISA</w:t>
      </w:r>
      <w:r>
        <w:rPr>
          <w:rFonts w:ascii="Arial" w:hAnsi="Arial" w:cs="Arial"/>
          <w:spacing w:val="-2"/>
        </w:rPr>
        <w:t xml:space="preserve">;  </w:t>
      </w:r>
    </w:p>
    <w:p>
      <w:pPr>
        <w:numPr>
          <w:ilvl w:val="0"/>
          <w:numId w:val="40"/>
        </w:numPr>
        <w:suppressAutoHyphens/>
        <w:autoSpaceDE w:val="0"/>
        <w:autoSpaceDN w:val="0"/>
        <w:adjustRightInd w:val="0"/>
        <w:spacing w:after="60" w:line="240" w:lineRule="auto"/>
        <w:ind w:left="244" w:hanging="244"/>
        <w:jc w:val="both"/>
        <w:rPr>
          <w:rFonts w:ascii="Arial" w:hAnsi="Arial" w:cs="Arial"/>
          <w:spacing w:val="-2"/>
        </w:rPr>
      </w:pPr>
      <w:r>
        <w:rPr>
          <w:rFonts w:ascii="Arial" w:hAnsi="Arial" w:cs="Arial"/>
          <w:b/>
          <w:bCs/>
          <w:spacing w:val="-2"/>
        </w:rPr>
        <w:t>cessazione dell’attività</w:t>
      </w:r>
      <w:r>
        <w:rPr>
          <w:rFonts w:ascii="Arial" w:hAnsi="Arial" w:cs="Arial"/>
          <w:spacing w:val="-2"/>
        </w:rPr>
        <w:t>;</w:t>
      </w:r>
    </w:p>
    <w:p>
      <w:pPr>
        <w:numPr>
          <w:ilvl w:val="0"/>
          <w:numId w:val="40"/>
        </w:numPr>
        <w:suppressAutoHyphens/>
        <w:autoSpaceDE w:val="0"/>
        <w:autoSpaceDN w:val="0"/>
        <w:adjustRightInd w:val="0"/>
        <w:spacing w:after="60" w:line="240" w:lineRule="auto"/>
        <w:ind w:left="244" w:hanging="244"/>
        <w:jc w:val="both"/>
        <w:rPr>
          <w:rFonts w:ascii="Arial" w:hAnsi="Arial" w:cs="Arial"/>
          <w:spacing w:val="-2"/>
        </w:rPr>
      </w:pPr>
      <w:r>
        <w:rPr>
          <w:rFonts w:ascii="Arial" w:hAnsi="Arial" w:cs="Arial"/>
          <w:b/>
          <w:bCs/>
          <w:spacing w:val="-2"/>
        </w:rPr>
        <w:t>adesione al regime forfetario</w:t>
      </w:r>
      <w:r>
        <w:rPr>
          <w:rFonts w:ascii="Arial" w:hAnsi="Arial" w:cs="Arial"/>
          <w:spacing w:val="-2"/>
        </w:rPr>
        <w:t>;</w:t>
      </w:r>
    </w:p>
    <w:p>
      <w:pPr>
        <w:numPr>
          <w:ilvl w:val="0"/>
          <w:numId w:val="40"/>
        </w:numPr>
        <w:suppressAutoHyphens/>
        <w:autoSpaceDE w:val="0"/>
        <w:autoSpaceDN w:val="0"/>
        <w:adjustRightInd w:val="0"/>
        <w:spacing w:after="60" w:line="240" w:lineRule="auto"/>
        <w:ind w:left="244" w:hanging="244"/>
        <w:jc w:val="both"/>
        <w:rPr>
          <w:rFonts w:ascii="Arial" w:hAnsi="Arial" w:cs="Arial"/>
          <w:spacing w:val="-2"/>
        </w:rPr>
      </w:pPr>
      <w:r>
        <w:rPr>
          <w:rFonts w:ascii="Arial" w:hAnsi="Arial" w:cs="Arial"/>
          <w:spacing w:val="-2"/>
        </w:rPr>
        <w:t xml:space="preserve">la società è </w:t>
      </w:r>
      <w:r>
        <w:rPr>
          <w:rFonts w:ascii="Arial" w:hAnsi="Arial" w:cs="Arial"/>
          <w:b/>
          <w:bCs/>
          <w:spacing w:val="-2"/>
        </w:rPr>
        <w:t>interessata da</w:t>
      </w:r>
      <w:r>
        <w:rPr>
          <w:rFonts w:ascii="Arial" w:hAnsi="Arial" w:cs="Arial"/>
          <w:spacing w:val="-2"/>
        </w:rPr>
        <w:t xml:space="preserve"> </w:t>
      </w:r>
      <w:r>
        <w:rPr>
          <w:rFonts w:ascii="Arial" w:hAnsi="Arial" w:cs="Arial"/>
          <w:b/>
          <w:bCs/>
          <w:spacing w:val="-2"/>
        </w:rPr>
        <w:t>un’operazione di fusione</w:t>
      </w:r>
      <w:r>
        <w:rPr>
          <w:rFonts w:ascii="Arial" w:hAnsi="Arial" w:cs="Arial"/>
          <w:spacing w:val="-2"/>
        </w:rPr>
        <w:t>,</w:t>
      </w:r>
      <w:r>
        <w:rPr>
          <w:rFonts w:ascii="Arial" w:hAnsi="Arial" w:cs="Arial"/>
          <w:b/>
          <w:bCs/>
          <w:spacing w:val="-2"/>
        </w:rPr>
        <w:t xml:space="preserve"> scissione, conferimento</w:t>
      </w:r>
      <w:r>
        <w:rPr>
          <w:rFonts w:ascii="Arial" w:hAnsi="Arial" w:cs="Arial"/>
          <w:spacing w:val="-2"/>
        </w:rPr>
        <w:t xml:space="preserve">, ovvero, la società di persone / associazione professionale di cui all’art. 5, TUIR è interessata da </w:t>
      </w:r>
      <w:r>
        <w:rPr>
          <w:rFonts w:ascii="Arial" w:hAnsi="Arial" w:cs="Arial"/>
          <w:b/>
          <w:bCs/>
          <w:spacing w:val="-2"/>
        </w:rPr>
        <w:t xml:space="preserve">modifiche della compagine sociale </w:t>
      </w:r>
      <w:r>
        <w:rPr>
          <w:rFonts w:ascii="Arial" w:hAnsi="Arial" w:cs="Arial"/>
          <w:spacing w:val="-2"/>
        </w:rPr>
        <w:t>che ne aumentano il numero dei soci / associati, fatto salvo il subentro di 2 o più eredi in caso di decesso del socio / associato;</w:t>
      </w:r>
    </w:p>
    <w:p>
      <w:pPr>
        <w:numPr>
          <w:ilvl w:val="0"/>
          <w:numId w:val="40"/>
        </w:numPr>
        <w:suppressAutoHyphens/>
        <w:autoSpaceDE w:val="0"/>
        <w:autoSpaceDN w:val="0"/>
        <w:adjustRightInd w:val="0"/>
        <w:spacing w:after="60" w:line="240" w:lineRule="auto"/>
        <w:ind w:left="244" w:hanging="244"/>
        <w:jc w:val="both"/>
        <w:rPr>
          <w:rFonts w:ascii="Arial" w:hAnsi="Arial" w:cs="Arial"/>
          <w:spacing w:val="-2"/>
        </w:rPr>
      </w:pPr>
      <w:r>
        <w:rPr>
          <w:rFonts w:ascii="Arial" w:hAnsi="Arial" w:cs="Arial"/>
          <w:spacing w:val="-2"/>
        </w:rPr>
        <w:t xml:space="preserve">il contribuente dichiara </w:t>
      </w:r>
      <w:r>
        <w:rPr>
          <w:rFonts w:ascii="Arial" w:hAnsi="Arial" w:cs="Arial"/>
          <w:b/>
          <w:bCs/>
          <w:spacing w:val="-2"/>
        </w:rPr>
        <w:t>ricavi</w:t>
      </w:r>
      <w:r>
        <w:rPr>
          <w:rFonts w:ascii="Arial" w:hAnsi="Arial" w:cs="Arial"/>
          <w:spacing w:val="-2"/>
        </w:rPr>
        <w:t xml:space="preserve"> / </w:t>
      </w:r>
      <w:r>
        <w:rPr>
          <w:rFonts w:ascii="Arial" w:hAnsi="Arial" w:cs="Arial"/>
          <w:b/>
          <w:bCs/>
          <w:spacing w:val="-2"/>
        </w:rPr>
        <w:t>compensi</w:t>
      </w:r>
      <w:r>
        <w:rPr>
          <w:rFonts w:ascii="Arial" w:hAnsi="Arial" w:cs="Arial"/>
          <w:spacing w:val="-2"/>
        </w:rPr>
        <w:t xml:space="preserve"> di </w:t>
      </w:r>
      <w:r>
        <w:rPr>
          <w:rFonts w:ascii="Arial" w:hAnsi="Arial" w:cs="Arial"/>
          <w:b/>
          <w:bCs/>
          <w:spacing w:val="-2"/>
        </w:rPr>
        <w:t>ammontare superiore a € 7.746.853</w:t>
      </w:r>
      <w:r>
        <w:rPr>
          <w:rFonts w:ascii="Arial" w:hAnsi="Arial" w:cs="Arial"/>
          <w:spacing w:val="-2"/>
        </w:rPr>
        <w:t>, ossia ricavi / compensi superiori del 50% rispetto al limite di € 5.164.569 previsto per l’applicazione degli ISA.</w:t>
      </w:r>
    </w:p>
    <w:p>
      <w:pPr>
        <w:pStyle w:val="Corpotesto"/>
        <w:spacing w:after="60" w:line="240" w:lineRule="auto"/>
        <w:jc w:val="both"/>
        <w:rPr>
          <w:rFonts w:ascii="Arial" w:hAnsi="Arial" w:cs="Arial"/>
          <w:b/>
          <w:bCs/>
          <w:spacing w:val="-2"/>
        </w:rPr>
      </w:pPr>
      <w:r>
        <w:rPr>
          <w:rFonts w:ascii="Arial" w:hAnsi="Arial" w:cs="Arial"/>
          <w:spacing w:val="-2"/>
        </w:rPr>
        <w:t xml:space="preserve">Con la lett. b) del comma 1 dell’art. 9 del Decreto in esame è confermata la modifica del citato art. 21, con l’introduzione delle seguenti </w:t>
      </w:r>
      <w:r>
        <w:rPr>
          <w:rFonts w:ascii="Arial" w:hAnsi="Arial" w:cs="Arial"/>
          <w:b/>
          <w:bCs/>
          <w:spacing w:val="-2"/>
        </w:rPr>
        <w:t>2</w:t>
      </w:r>
      <w:r>
        <w:rPr>
          <w:rFonts w:ascii="Arial" w:hAnsi="Arial" w:cs="Arial"/>
          <w:spacing w:val="-2"/>
        </w:rPr>
        <w:t xml:space="preserve"> </w:t>
      </w:r>
      <w:r>
        <w:rPr>
          <w:rFonts w:ascii="Arial" w:hAnsi="Arial" w:cs="Arial"/>
          <w:b/>
          <w:bCs/>
          <w:spacing w:val="-2"/>
        </w:rPr>
        <w:t>nuove cause di cessazione</w:t>
      </w:r>
      <w:r>
        <w:rPr>
          <w:rFonts w:ascii="Arial" w:hAnsi="Arial" w:cs="Arial"/>
          <w:spacing w:val="-2"/>
        </w:rPr>
        <w:t xml:space="preserve">, applicabili </w:t>
      </w:r>
      <w:r>
        <w:rPr>
          <w:rFonts w:ascii="Arial" w:hAnsi="Arial" w:cs="Arial"/>
          <w:b/>
          <w:bCs/>
          <w:spacing w:val="-2"/>
        </w:rPr>
        <w:t>a decorrere dall’adesione al CPB 2025-2026</w:t>
      </w:r>
      <w:r>
        <w:rPr>
          <w:rFonts w:ascii="Arial" w:hAnsi="Arial" w:cs="Arial"/>
          <w:spacing w:val="-2"/>
        </w:rPr>
        <w:t>, purché non esercitate prima dell’entrata in vigore del Decreto:</w:t>
      </w:r>
    </w:p>
    <w:p>
      <w:pPr>
        <w:numPr>
          <w:ilvl w:val="0"/>
          <w:numId w:val="40"/>
        </w:numPr>
        <w:suppressAutoHyphens/>
        <w:autoSpaceDE w:val="0"/>
        <w:autoSpaceDN w:val="0"/>
        <w:adjustRightInd w:val="0"/>
        <w:spacing w:before="40" w:after="60" w:line="240" w:lineRule="auto"/>
        <w:ind w:left="244" w:hanging="244"/>
        <w:jc w:val="both"/>
        <w:rPr>
          <w:rFonts w:ascii="Arial" w:hAnsi="Arial" w:cs="Arial"/>
          <w:spacing w:val="-2"/>
        </w:rPr>
      </w:pPr>
      <w:r>
        <w:rPr>
          <w:rFonts w:ascii="Arial" w:hAnsi="Arial" w:cs="Arial"/>
          <w:spacing w:val="-2"/>
        </w:rPr>
        <w:t xml:space="preserve">il contribuente che </w:t>
      </w:r>
      <w:r>
        <w:rPr>
          <w:rFonts w:ascii="Arial" w:hAnsi="Arial" w:cs="Arial"/>
          <w:b/>
          <w:bCs/>
          <w:spacing w:val="-2"/>
        </w:rPr>
        <w:t>dichiara individualmente redditi di lavoro autonomo</w:t>
      </w:r>
      <w:r>
        <w:rPr>
          <w:rFonts w:ascii="Arial" w:hAnsi="Arial" w:cs="Arial"/>
          <w:spacing w:val="-2"/>
        </w:rPr>
        <w:t xml:space="preserve"> e l’</w:t>
      </w:r>
      <w:r>
        <w:rPr>
          <w:rFonts w:ascii="Arial" w:hAnsi="Arial" w:cs="Arial"/>
          <w:b/>
          <w:bCs/>
          <w:spacing w:val="-2"/>
        </w:rPr>
        <w:t>associazione professionale</w:t>
      </w:r>
      <w:r>
        <w:rPr>
          <w:rFonts w:ascii="Arial" w:hAnsi="Arial" w:cs="Arial"/>
          <w:spacing w:val="-2"/>
        </w:rPr>
        <w:t xml:space="preserve"> / </w:t>
      </w:r>
      <w:r>
        <w:rPr>
          <w:rFonts w:ascii="Arial" w:hAnsi="Arial" w:cs="Arial"/>
          <w:b/>
          <w:bCs/>
          <w:spacing w:val="-2"/>
        </w:rPr>
        <w:t>STP</w:t>
      </w:r>
      <w:r>
        <w:rPr>
          <w:rFonts w:ascii="Arial" w:hAnsi="Arial" w:cs="Arial"/>
          <w:spacing w:val="-2"/>
        </w:rPr>
        <w:t xml:space="preserve"> / </w:t>
      </w:r>
      <w:r>
        <w:rPr>
          <w:rFonts w:ascii="Arial" w:hAnsi="Arial" w:cs="Arial"/>
          <w:b/>
          <w:bCs/>
          <w:spacing w:val="-2"/>
        </w:rPr>
        <w:t>società tra avvocati</w:t>
      </w:r>
      <w:r>
        <w:rPr>
          <w:rFonts w:ascii="Arial" w:hAnsi="Arial" w:cs="Arial"/>
          <w:spacing w:val="-2"/>
        </w:rPr>
        <w:t xml:space="preserve">, cui partecipa, </w:t>
      </w:r>
      <w:r>
        <w:rPr>
          <w:rFonts w:ascii="Arial" w:hAnsi="Arial" w:cs="Arial"/>
          <w:b/>
          <w:bCs/>
          <w:spacing w:val="-2"/>
        </w:rPr>
        <w:t>non determinano il reddito sulla base dell’adesione alla proposta di concordato</w:t>
      </w:r>
      <w:r>
        <w:rPr>
          <w:rFonts w:ascii="Arial" w:hAnsi="Arial" w:cs="Arial"/>
          <w:spacing w:val="-2"/>
        </w:rPr>
        <w:t xml:space="preserve"> nei medesimi periodi d’imposta cui aderisce l’associato / socio; </w:t>
      </w:r>
    </w:p>
    <w:p>
      <w:pPr>
        <w:numPr>
          <w:ilvl w:val="0"/>
          <w:numId w:val="40"/>
        </w:numPr>
        <w:suppressAutoHyphens/>
        <w:autoSpaceDE w:val="0"/>
        <w:autoSpaceDN w:val="0"/>
        <w:adjustRightInd w:val="0"/>
        <w:spacing w:before="40" w:after="120" w:line="240" w:lineRule="auto"/>
        <w:ind w:left="244" w:hanging="244"/>
        <w:jc w:val="both"/>
        <w:rPr>
          <w:rFonts w:ascii="Arial" w:hAnsi="Arial" w:cs="Arial"/>
          <w:spacing w:val="-2"/>
        </w:rPr>
      </w:pPr>
      <w:r>
        <w:rPr>
          <w:rFonts w:ascii="Arial" w:hAnsi="Arial" w:cs="Arial"/>
          <w:spacing w:val="-2"/>
        </w:rPr>
        <w:t>l’</w:t>
      </w:r>
      <w:r>
        <w:rPr>
          <w:rFonts w:ascii="Arial" w:hAnsi="Arial" w:cs="Arial"/>
          <w:b/>
          <w:bCs/>
          <w:spacing w:val="-2"/>
        </w:rPr>
        <w:t>associazione professionale</w:t>
      </w:r>
      <w:r>
        <w:rPr>
          <w:rFonts w:ascii="Arial" w:hAnsi="Arial" w:cs="Arial"/>
          <w:spacing w:val="-2"/>
        </w:rPr>
        <w:t xml:space="preserve"> / </w:t>
      </w:r>
      <w:r>
        <w:rPr>
          <w:rFonts w:ascii="Arial" w:hAnsi="Arial" w:cs="Arial"/>
          <w:b/>
          <w:bCs/>
          <w:spacing w:val="-2"/>
        </w:rPr>
        <w:t>STP</w:t>
      </w:r>
      <w:r>
        <w:rPr>
          <w:rFonts w:ascii="Arial" w:hAnsi="Arial" w:cs="Arial"/>
          <w:spacing w:val="-2"/>
        </w:rPr>
        <w:t xml:space="preserve"> / </w:t>
      </w:r>
      <w:r>
        <w:rPr>
          <w:rFonts w:ascii="Arial" w:hAnsi="Arial" w:cs="Arial"/>
          <w:b/>
          <w:bCs/>
          <w:spacing w:val="-2"/>
        </w:rPr>
        <w:t>società tra avvocati</w:t>
      </w:r>
      <w:r>
        <w:rPr>
          <w:rFonts w:ascii="Arial" w:hAnsi="Arial" w:cs="Arial"/>
          <w:spacing w:val="-2"/>
        </w:rPr>
        <w:t xml:space="preserve"> e </w:t>
      </w:r>
      <w:r>
        <w:rPr>
          <w:rFonts w:ascii="Arial" w:hAnsi="Arial" w:cs="Arial"/>
          <w:b/>
          <w:bCs/>
          <w:spacing w:val="-2"/>
        </w:rPr>
        <w:t>uno degli associati / soci</w:t>
      </w:r>
      <w:r>
        <w:rPr>
          <w:rFonts w:ascii="Arial" w:hAnsi="Arial" w:cs="Arial"/>
          <w:spacing w:val="-2"/>
        </w:rPr>
        <w:t xml:space="preserve">, che dichiarano individualmente redditi di lavoro autonomo </w:t>
      </w:r>
      <w:r>
        <w:rPr>
          <w:rFonts w:ascii="Arial" w:hAnsi="Arial" w:cs="Arial"/>
          <w:b/>
          <w:bCs/>
          <w:spacing w:val="-2"/>
        </w:rPr>
        <w:t xml:space="preserve">non determinano il reddito sulla base </w:t>
      </w:r>
      <w:r>
        <w:rPr>
          <w:rFonts w:ascii="Arial" w:hAnsi="Arial" w:cs="Arial"/>
          <w:b/>
          <w:bCs/>
          <w:spacing w:val="-2"/>
        </w:rPr>
        <w:lastRenderedPageBreak/>
        <w:t xml:space="preserve">dell’adesione alla proposta di concordato </w:t>
      </w:r>
      <w:r>
        <w:rPr>
          <w:rFonts w:ascii="Arial" w:hAnsi="Arial" w:cs="Arial"/>
          <w:spacing w:val="-2"/>
        </w:rPr>
        <w:t>nei medesimi periodi d’imposta cui aderisce l’associazione / società partecipata.</w:t>
      </w:r>
    </w:p>
    <w:p>
      <w:pPr>
        <w:pStyle w:val="TITOLOMANFREDI"/>
        <w:spacing w:after="0"/>
        <w:rPr>
          <w:rFonts w:ascii="Arial Grassetto" w:hAnsi="Arial Grassetto"/>
          <w:caps/>
        </w:rPr>
      </w:pPr>
      <w:r>
        <w:rPr>
          <w:rFonts w:ascii="Arial Grassetto" w:hAnsi="Arial Grassetto"/>
          <w:caps/>
        </w:rPr>
        <w:t>Interpretazione autentica causa di esclusione / cessazione del cpb</w:t>
      </w:r>
    </w:p>
    <w:p>
      <w:pPr>
        <w:pStyle w:val="TITOLOMANFREDI"/>
        <w:spacing w:before="0"/>
        <w:rPr>
          <w:rFonts w:ascii="Arial Grassetto" w:hAnsi="Arial Grassetto"/>
          <w:caps/>
        </w:rPr>
      </w:pPr>
      <w:r>
        <w:rPr>
          <w:rFonts w:ascii="Arial Grassetto" w:hAnsi="Arial Grassetto"/>
          <w:caps/>
        </w:rPr>
        <w:t xml:space="preserve"> in presenza di operazioni straordinarie </w:t>
      </w:r>
    </w:p>
    <w:p>
      <w:pPr>
        <w:pStyle w:val="Corpotesto"/>
        <w:spacing w:line="240" w:lineRule="auto"/>
        <w:jc w:val="both"/>
        <w:rPr>
          <w:rFonts w:ascii="Arial" w:hAnsi="Arial" w:cs="Arial"/>
          <w:spacing w:val="-2"/>
        </w:rPr>
      </w:pPr>
      <w:r>
        <w:rPr>
          <w:rFonts w:ascii="Arial" w:hAnsi="Arial" w:cs="Arial"/>
          <w:spacing w:val="-2"/>
        </w:rPr>
        <w:t xml:space="preserve">Gli artt. 11, comma 1, </w:t>
      </w:r>
      <w:r>
        <w:rPr>
          <w:rFonts w:ascii="Arial" w:hAnsi="Arial" w:cs="Arial"/>
          <w:b/>
          <w:bCs/>
          <w:spacing w:val="-2"/>
        </w:rPr>
        <w:t>lett. b-quater)</w:t>
      </w:r>
      <w:r>
        <w:rPr>
          <w:rFonts w:ascii="Arial" w:hAnsi="Arial" w:cs="Arial"/>
          <w:spacing w:val="-2"/>
        </w:rPr>
        <w:t xml:space="preserve"> e 21, comma 1, </w:t>
      </w:r>
      <w:r>
        <w:rPr>
          <w:rFonts w:ascii="Arial" w:hAnsi="Arial" w:cs="Arial"/>
          <w:b/>
          <w:bCs/>
          <w:spacing w:val="-2"/>
        </w:rPr>
        <w:t>lett. b-ter)</w:t>
      </w:r>
      <w:r>
        <w:rPr>
          <w:rFonts w:ascii="Arial" w:hAnsi="Arial" w:cs="Arial"/>
          <w:spacing w:val="-2"/>
        </w:rPr>
        <w:t>, D.Lgs. n. 13/2024, prevedono (come sopra accennato), rispettivamente, la seguente causa di esclusione / cessazione del concordato.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409"/>
      </w:tblGrid>
      <w:tr>
        <w:tc>
          <w:tcPr>
            <w:tcW w:w="3261" w:type="dxa"/>
            <w:tcBorders>
              <w:top w:val="single" w:sz="4" w:space="0" w:color="auto"/>
              <w:left w:val="single" w:sz="4" w:space="0" w:color="auto"/>
              <w:bottom w:val="single" w:sz="4" w:space="0" w:color="auto"/>
              <w:right w:val="single" w:sz="4" w:space="0" w:color="auto"/>
            </w:tcBorders>
            <w:shd w:val="clear" w:color="auto" w:fill="EDF7F9"/>
            <w:vAlign w:val="center"/>
            <w:hideMark/>
          </w:tcPr>
          <w:p>
            <w:pPr>
              <w:pStyle w:val="Corpotesto"/>
              <w:spacing w:after="0" w:line="240" w:lineRule="auto"/>
              <w:jc w:val="center"/>
              <w:rPr>
                <w:rFonts w:ascii="Arial" w:eastAsia="Times New Roman" w:hAnsi="Arial" w:cs="Arial"/>
                <w:b/>
                <w:bCs/>
                <w:spacing w:val="-2"/>
              </w:rPr>
            </w:pPr>
            <w:r>
              <w:rPr>
                <w:rFonts w:ascii="Arial" w:eastAsia="Times New Roman" w:hAnsi="Arial" w:cs="Arial"/>
                <w:b/>
                <w:bCs/>
                <w:spacing w:val="-2"/>
              </w:rPr>
              <w:t xml:space="preserve">Causa di esclusione </w:t>
            </w:r>
          </w:p>
          <w:p>
            <w:pPr>
              <w:pStyle w:val="Corpotesto"/>
              <w:spacing w:after="0" w:line="240" w:lineRule="auto"/>
              <w:jc w:val="center"/>
              <w:rPr>
                <w:rFonts w:ascii="Arial" w:eastAsia="Times New Roman" w:hAnsi="Arial" w:cs="Arial"/>
                <w:spacing w:val="-2"/>
              </w:rPr>
            </w:pPr>
            <w:r>
              <w:rPr>
                <w:rFonts w:ascii="Arial" w:eastAsia="Times New Roman" w:hAnsi="Arial" w:cs="Arial"/>
                <w:spacing w:val="-2"/>
              </w:rPr>
              <w:t xml:space="preserve">art. 11, comma 1, </w:t>
            </w:r>
            <w:r>
              <w:rPr>
                <w:rFonts w:ascii="Arial" w:eastAsia="Times New Roman" w:hAnsi="Arial" w:cs="Arial"/>
                <w:b/>
                <w:bCs/>
                <w:spacing w:val="-2"/>
              </w:rPr>
              <w:t>lett. b-quater</w:t>
            </w:r>
          </w:p>
        </w:tc>
        <w:tc>
          <w:tcPr>
            <w:tcW w:w="6409" w:type="dxa"/>
            <w:tcBorders>
              <w:top w:val="single" w:sz="4" w:space="0" w:color="auto"/>
              <w:left w:val="single" w:sz="4" w:space="0" w:color="auto"/>
              <w:bottom w:val="single" w:sz="4" w:space="0" w:color="auto"/>
              <w:right w:val="single" w:sz="4" w:space="0" w:color="auto"/>
            </w:tcBorders>
            <w:vAlign w:val="center"/>
            <w:hideMark/>
          </w:tcPr>
          <w:p>
            <w:pPr>
              <w:pStyle w:val="Corpotesto"/>
              <w:spacing w:after="0" w:line="240" w:lineRule="auto"/>
              <w:jc w:val="both"/>
              <w:rPr>
                <w:rFonts w:ascii="Arial" w:eastAsia="Times New Roman" w:hAnsi="Arial" w:cs="Arial"/>
                <w:b/>
                <w:bCs/>
                <w:spacing w:val="-2"/>
              </w:rPr>
            </w:pPr>
            <w:r>
              <w:rPr>
                <w:rFonts w:ascii="Arial" w:eastAsia="Times New Roman" w:hAnsi="Arial" w:cs="Arial"/>
                <w:b/>
                <w:bCs/>
                <w:spacing w:val="-2"/>
              </w:rPr>
              <w:t xml:space="preserve">Non possono accedere al CPB </w:t>
            </w:r>
            <w:r>
              <w:rPr>
                <w:rFonts w:ascii="Arial" w:eastAsia="Times New Roman" w:hAnsi="Arial" w:cs="Arial"/>
                <w:spacing w:val="-2"/>
              </w:rPr>
              <w:t xml:space="preserve">la società che nel primo anno cui si riferisce la proposta di concordato è </w:t>
            </w:r>
            <w:r>
              <w:rPr>
                <w:rFonts w:ascii="Arial" w:eastAsia="Times New Roman" w:hAnsi="Arial" w:cs="Arial"/>
                <w:b/>
                <w:bCs/>
                <w:spacing w:val="-2"/>
              </w:rPr>
              <w:t>interessata da un’operazione di fusione, scissione, conferimento</w:t>
            </w:r>
            <w:r>
              <w:rPr>
                <w:rFonts w:ascii="Arial" w:eastAsia="Times New Roman" w:hAnsi="Arial" w:cs="Arial"/>
                <w:spacing w:val="-2"/>
              </w:rPr>
              <w:t xml:space="preserve">, ovvero, la società di persone / associazione professionale ex art. 5, TUIR interessata da </w:t>
            </w:r>
            <w:r>
              <w:rPr>
                <w:rFonts w:ascii="Arial" w:eastAsia="Times New Roman" w:hAnsi="Arial" w:cs="Arial"/>
                <w:b/>
                <w:bCs/>
                <w:spacing w:val="-2"/>
              </w:rPr>
              <w:t xml:space="preserve">modifiche della compagine sociale </w:t>
            </w:r>
            <w:r>
              <w:rPr>
                <w:rFonts w:ascii="Arial" w:eastAsia="Times New Roman" w:hAnsi="Arial" w:cs="Arial"/>
                <w:spacing w:val="-2"/>
              </w:rPr>
              <w:t>che ne aumentano il numero dei soci / associati, fatto salvo il subentro di 2 o più eredi in caso di decesso del socio / associato.</w:t>
            </w:r>
          </w:p>
        </w:tc>
      </w:tr>
      <w:tr>
        <w:tc>
          <w:tcPr>
            <w:tcW w:w="3261" w:type="dxa"/>
            <w:tcBorders>
              <w:top w:val="single" w:sz="4" w:space="0" w:color="auto"/>
              <w:left w:val="single" w:sz="4" w:space="0" w:color="auto"/>
              <w:bottom w:val="single" w:sz="4" w:space="0" w:color="auto"/>
              <w:right w:val="single" w:sz="4" w:space="0" w:color="auto"/>
            </w:tcBorders>
            <w:shd w:val="clear" w:color="auto" w:fill="EDF7F9"/>
            <w:vAlign w:val="center"/>
            <w:hideMark/>
          </w:tcPr>
          <w:p>
            <w:pPr>
              <w:pStyle w:val="Corpotesto"/>
              <w:spacing w:after="0" w:line="240" w:lineRule="auto"/>
              <w:jc w:val="center"/>
              <w:rPr>
                <w:rFonts w:ascii="Arial" w:eastAsia="Times New Roman" w:hAnsi="Arial" w:cs="Arial"/>
                <w:b/>
                <w:bCs/>
                <w:spacing w:val="-2"/>
              </w:rPr>
            </w:pPr>
            <w:r>
              <w:rPr>
                <w:rFonts w:ascii="Arial" w:eastAsia="Times New Roman" w:hAnsi="Arial" w:cs="Arial"/>
                <w:b/>
                <w:bCs/>
                <w:spacing w:val="-2"/>
              </w:rPr>
              <w:t>Causa di cessazione</w:t>
            </w:r>
          </w:p>
          <w:p>
            <w:pPr>
              <w:pStyle w:val="Corpotesto"/>
              <w:spacing w:after="0" w:line="240" w:lineRule="auto"/>
              <w:jc w:val="center"/>
              <w:rPr>
                <w:rFonts w:ascii="Arial" w:eastAsia="Times New Roman" w:hAnsi="Arial" w:cs="Arial"/>
                <w:spacing w:val="-2"/>
              </w:rPr>
            </w:pPr>
            <w:r>
              <w:rPr>
                <w:rFonts w:ascii="Arial" w:eastAsia="Times New Roman" w:hAnsi="Arial" w:cs="Arial"/>
                <w:spacing w:val="-2"/>
              </w:rPr>
              <w:t xml:space="preserve">art. 21, comma 1, </w:t>
            </w:r>
            <w:r>
              <w:rPr>
                <w:rFonts w:ascii="Arial" w:eastAsia="Times New Roman" w:hAnsi="Arial" w:cs="Arial"/>
                <w:b/>
                <w:bCs/>
                <w:spacing w:val="-2"/>
              </w:rPr>
              <w:t>lett. b-ter</w:t>
            </w:r>
          </w:p>
        </w:tc>
        <w:tc>
          <w:tcPr>
            <w:tcW w:w="6409" w:type="dxa"/>
            <w:tcBorders>
              <w:top w:val="single" w:sz="4" w:space="0" w:color="auto"/>
              <w:left w:val="single" w:sz="4" w:space="0" w:color="auto"/>
              <w:bottom w:val="single" w:sz="4" w:space="0" w:color="auto"/>
              <w:right w:val="single" w:sz="4" w:space="0" w:color="auto"/>
            </w:tcBorders>
            <w:vAlign w:val="center"/>
            <w:hideMark/>
          </w:tcPr>
          <w:p>
            <w:pPr>
              <w:pStyle w:val="Corpotesto"/>
              <w:spacing w:after="0" w:line="240" w:lineRule="auto"/>
              <w:jc w:val="both"/>
              <w:rPr>
                <w:rFonts w:ascii="Arial" w:eastAsia="Times New Roman" w:hAnsi="Arial" w:cs="Arial"/>
                <w:b/>
                <w:bCs/>
                <w:spacing w:val="-2"/>
              </w:rPr>
            </w:pPr>
            <w:r>
              <w:rPr>
                <w:rFonts w:ascii="Arial" w:eastAsia="Times New Roman" w:hAnsi="Arial" w:cs="Arial"/>
                <w:spacing w:val="-2"/>
              </w:rPr>
              <w:t xml:space="preserve">Il concordato cessa di avere efficacia a partire dal periodo d’imposta nel quale la società è </w:t>
            </w:r>
            <w:r>
              <w:rPr>
                <w:rFonts w:ascii="Arial" w:eastAsia="Times New Roman" w:hAnsi="Arial" w:cs="Arial"/>
                <w:b/>
                <w:bCs/>
                <w:spacing w:val="-2"/>
              </w:rPr>
              <w:t>interessata da</w:t>
            </w:r>
            <w:r>
              <w:rPr>
                <w:rFonts w:ascii="Arial" w:eastAsia="Times New Roman" w:hAnsi="Arial" w:cs="Arial"/>
                <w:spacing w:val="-2"/>
              </w:rPr>
              <w:t xml:space="preserve"> </w:t>
            </w:r>
            <w:r>
              <w:rPr>
                <w:rFonts w:ascii="Arial" w:eastAsia="Times New Roman" w:hAnsi="Arial" w:cs="Arial"/>
                <w:b/>
                <w:bCs/>
                <w:spacing w:val="-2"/>
              </w:rPr>
              <w:t>un’operazione di fusione, scissione, conferimento</w:t>
            </w:r>
            <w:r>
              <w:rPr>
                <w:rFonts w:ascii="Arial" w:eastAsia="Times New Roman" w:hAnsi="Arial" w:cs="Arial"/>
                <w:spacing w:val="-2"/>
              </w:rPr>
              <w:t xml:space="preserve">, ovvero, la società di persone / associazione professionale ex art. 5, TUIR è interessata da </w:t>
            </w:r>
            <w:r>
              <w:rPr>
                <w:rFonts w:ascii="Arial" w:eastAsia="Times New Roman" w:hAnsi="Arial" w:cs="Arial"/>
                <w:b/>
                <w:bCs/>
                <w:spacing w:val="-2"/>
              </w:rPr>
              <w:t xml:space="preserve">modifiche della compagine sociale </w:t>
            </w:r>
            <w:r>
              <w:rPr>
                <w:rFonts w:ascii="Arial" w:eastAsia="Times New Roman" w:hAnsi="Arial" w:cs="Arial"/>
                <w:spacing w:val="-2"/>
              </w:rPr>
              <w:t>che ne aumentano il numero dei soci / associati, fatto salvo il subentro di 2 o più eredi in caso di decesso del socio / associato.</w:t>
            </w:r>
          </w:p>
        </w:tc>
      </w:tr>
    </w:tbl>
    <w:p>
      <w:pPr>
        <w:pStyle w:val="Corpotesto"/>
        <w:spacing w:before="120" w:line="240" w:lineRule="auto"/>
        <w:jc w:val="both"/>
        <w:rPr>
          <w:rFonts w:ascii="Arial" w:hAnsi="Arial" w:cs="Arial"/>
          <w:spacing w:val="-2"/>
        </w:rPr>
      </w:pPr>
      <w:r>
        <w:rPr>
          <w:rFonts w:ascii="Arial" w:hAnsi="Arial" w:cs="Arial"/>
          <w:spacing w:val="-2"/>
        </w:rPr>
        <w:t xml:space="preserve">Con l’art. 10 del Decreto in esame, contenente una </w:t>
      </w:r>
      <w:r>
        <w:rPr>
          <w:rFonts w:ascii="Arial" w:hAnsi="Arial" w:cs="Arial"/>
          <w:b/>
          <w:bCs/>
          <w:spacing w:val="-2"/>
        </w:rPr>
        <w:t>norma di interpretazione autentica</w:t>
      </w:r>
      <w:r>
        <w:rPr>
          <w:rFonts w:ascii="Arial" w:hAnsi="Arial" w:cs="Arial"/>
          <w:spacing w:val="-2"/>
        </w:rPr>
        <w:t>,</w:t>
      </w:r>
      <w:r>
        <w:rPr>
          <w:rFonts w:ascii="Arial" w:hAnsi="Arial" w:cs="Arial"/>
          <w:b/>
          <w:bCs/>
          <w:spacing w:val="-2"/>
        </w:rPr>
        <w:t xml:space="preserve"> </w:t>
      </w:r>
      <w:r>
        <w:rPr>
          <w:rFonts w:ascii="Arial" w:hAnsi="Arial" w:cs="Arial"/>
          <w:spacing w:val="-2"/>
        </w:rPr>
        <w:t>è</w:t>
      </w:r>
      <w:r>
        <w:rPr>
          <w:rFonts w:ascii="Arial" w:hAnsi="Arial" w:cs="Arial"/>
          <w:b/>
          <w:bCs/>
          <w:spacing w:val="-2"/>
        </w:rPr>
        <w:t xml:space="preserve"> </w:t>
      </w:r>
      <w:r>
        <w:rPr>
          <w:rFonts w:ascii="Arial" w:hAnsi="Arial" w:cs="Arial"/>
          <w:spacing w:val="-2"/>
        </w:rPr>
        <w:t xml:space="preserve">confermato che </w:t>
      </w:r>
      <w:r>
        <w:rPr>
          <w:rFonts w:ascii="Arial" w:hAnsi="Arial" w:cs="Arial"/>
          <w:b/>
          <w:bCs/>
          <w:spacing w:val="-2"/>
        </w:rPr>
        <w:t>ai fini dell’applicazione della predetta causa di esclusione / cessazione</w:t>
      </w:r>
      <w:r>
        <w:rPr>
          <w:rFonts w:ascii="Arial" w:hAnsi="Arial" w:cs="Arial"/>
          <w:spacing w:val="-2"/>
        </w:rPr>
        <w:t xml:space="preserve">, per </w:t>
      </w:r>
      <w:r>
        <w:rPr>
          <w:rFonts w:ascii="Arial" w:hAnsi="Arial" w:cs="Arial"/>
          <w:b/>
          <w:bCs/>
          <w:spacing w:val="-2"/>
        </w:rPr>
        <w:t>operazioni di conferimento</w:t>
      </w:r>
      <w:r>
        <w:rPr>
          <w:rFonts w:ascii="Arial" w:hAnsi="Arial" w:cs="Arial"/>
          <w:spacing w:val="-2"/>
        </w:rPr>
        <w:t xml:space="preserve"> vanno intese esclusivamente quelle che </w:t>
      </w:r>
      <w:r>
        <w:rPr>
          <w:rFonts w:ascii="Arial" w:hAnsi="Arial" w:cs="Arial"/>
          <w:b/>
          <w:bCs/>
          <w:spacing w:val="-2"/>
        </w:rPr>
        <w:t>hanno ad oggetto un</w:t>
      </w:r>
      <w:r>
        <w:rPr>
          <w:rFonts w:ascii="Arial" w:hAnsi="Arial" w:cs="Arial"/>
          <w:spacing w:val="-2"/>
        </w:rPr>
        <w:t>’</w:t>
      </w:r>
      <w:r>
        <w:rPr>
          <w:rFonts w:ascii="Arial" w:hAnsi="Arial" w:cs="Arial"/>
          <w:b/>
          <w:bCs/>
          <w:spacing w:val="-2"/>
        </w:rPr>
        <w:t>azienda</w:t>
      </w:r>
      <w:r>
        <w:rPr>
          <w:rFonts w:ascii="Arial" w:hAnsi="Arial" w:cs="Arial"/>
          <w:spacing w:val="-2"/>
        </w:rPr>
        <w:t xml:space="preserve"> </w:t>
      </w:r>
      <w:r>
        <w:rPr>
          <w:rFonts w:ascii="Arial" w:hAnsi="Arial" w:cs="Arial"/>
          <w:b/>
          <w:bCs/>
          <w:spacing w:val="-2"/>
        </w:rPr>
        <w:t>o un</w:t>
      </w:r>
      <w:r>
        <w:rPr>
          <w:rFonts w:ascii="Arial" w:hAnsi="Arial" w:cs="Arial"/>
          <w:spacing w:val="-2"/>
        </w:rPr>
        <w:t xml:space="preserve"> </w:t>
      </w:r>
      <w:r>
        <w:rPr>
          <w:rFonts w:ascii="Arial" w:hAnsi="Arial" w:cs="Arial"/>
          <w:b/>
          <w:bCs/>
          <w:spacing w:val="-2"/>
        </w:rPr>
        <w:t xml:space="preserve">ramo d’azienda </w:t>
      </w:r>
      <w:r>
        <w:rPr>
          <w:rFonts w:ascii="Arial" w:hAnsi="Arial" w:cs="Arial"/>
          <w:spacing w:val="-2"/>
        </w:rPr>
        <w:t xml:space="preserve">e non singoli beni / denaro. </w:t>
      </w:r>
    </w:p>
    <w:p>
      <w:pPr>
        <w:pStyle w:val="TITOLOMANFREDI"/>
        <w:rPr>
          <w:rFonts w:ascii="Arial Grassetto" w:hAnsi="Arial Grassetto"/>
          <w:caps/>
        </w:rPr>
      </w:pPr>
      <w:r>
        <w:rPr>
          <w:rFonts w:ascii="Arial Grassetto" w:hAnsi="Arial Grassetto"/>
          <w:caps/>
        </w:rPr>
        <w:t xml:space="preserve">“Maxi deduzione” costo del lavoro </w:t>
      </w:r>
    </w:p>
    <w:p>
      <w:pPr>
        <w:spacing w:before="120" w:after="60" w:line="240" w:lineRule="auto"/>
        <w:rPr>
          <w:rFonts w:ascii="Arial" w:hAnsi="Arial" w:cs="Arial"/>
          <w:b/>
          <w:i/>
          <w:sz w:val="24"/>
          <w:szCs w:val="24"/>
        </w:rPr>
      </w:pPr>
      <w:r>
        <w:rPr>
          <w:rFonts w:ascii="Arial" w:hAnsi="Arial" w:cs="Arial"/>
          <w:b/>
          <w:i/>
          <w:sz w:val="24"/>
          <w:szCs w:val="24"/>
        </w:rPr>
        <w:t>Determinazione reddito lavoro autonomo concordato</w:t>
      </w:r>
    </w:p>
    <w:p>
      <w:pPr>
        <w:pStyle w:val="Corpotesto"/>
        <w:spacing w:before="20" w:after="20" w:line="240" w:lineRule="auto"/>
        <w:jc w:val="both"/>
        <w:rPr>
          <w:rFonts w:ascii="Arial" w:hAnsi="Arial" w:cs="Arial"/>
          <w:spacing w:val="-2"/>
        </w:rPr>
      </w:pPr>
      <w:r>
        <w:rPr>
          <w:rFonts w:ascii="Arial" w:hAnsi="Arial" w:cs="Arial"/>
          <w:spacing w:val="-2"/>
        </w:rPr>
        <w:t>Ai sensi dell’art. 15, D.Lgs. n. 13/2024, il</w:t>
      </w:r>
      <w:r>
        <w:rPr>
          <w:rFonts w:ascii="Arial" w:hAnsi="Arial" w:cs="Arial"/>
          <w:b/>
          <w:bCs/>
          <w:spacing w:val="-2"/>
        </w:rPr>
        <w:t xml:space="preserve"> reddito di lavoro autonomo</w:t>
      </w:r>
      <w:r>
        <w:rPr>
          <w:rFonts w:ascii="Arial" w:hAnsi="Arial" w:cs="Arial"/>
          <w:spacing w:val="-2"/>
        </w:rPr>
        <w:t xml:space="preserve"> </w:t>
      </w:r>
      <w:r>
        <w:rPr>
          <w:rFonts w:ascii="Arial" w:hAnsi="Arial" w:cs="Arial"/>
          <w:b/>
          <w:bCs/>
          <w:spacing w:val="-2"/>
        </w:rPr>
        <w:t>utilizzato per la formulazione della proposta</w:t>
      </w:r>
      <w:r>
        <w:rPr>
          <w:rFonts w:ascii="Arial" w:hAnsi="Arial" w:cs="Arial"/>
          <w:spacing w:val="-2"/>
        </w:rPr>
        <w:t xml:space="preserve"> è individuato con riferimento alle regole ordinarie di cui all’art. 54, comma 1, TUIR, </w:t>
      </w:r>
      <w:r>
        <w:rPr>
          <w:rFonts w:ascii="Arial" w:hAnsi="Arial" w:cs="Arial"/>
          <w:b/>
          <w:bCs/>
          <w:spacing w:val="-2"/>
        </w:rPr>
        <w:t>senza considerare</w:t>
      </w:r>
      <w:r>
        <w:rPr>
          <w:rFonts w:ascii="Arial" w:hAnsi="Arial" w:cs="Arial"/>
          <w:spacing w:val="-2"/>
        </w:rPr>
        <w:t>:</w:t>
      </w:r>
    </w:p>
    <w:p>
      <w:pPr>
        <w:numPr>
          <w:ilvl w:val="0"/>
          <w:numId w:val="40"/>
        </w:numPr>
        <w:suppressAutoHyphens/>
        <w:autoSpaceDE w:val="0"/>
        <w:autoSpaceDN w:val="0"/>
        <w:adjustRightInd w:val="0"/>
        <w:spacing w:before="20" w:after="20" w:line="240" w:lineRule="auto"/>
        <w:ind w:left="244" w:hanging="244"/>
        <w:jc w:val="both"/>
        <w:rPr>
          <w:rFonts w:ascii="Arial" w:hAnsi="Arial" w:cs="Arial"/>
          <w:spacing w:val="-2"/>
        </w:rPr>
      </w:pPr>
      <w:r>
        <w:rPr>
          <w:rFonts w:ascii="Arial" w:hAnsi="Arial" w:cs="Arial"/>
          <w:b/>
          <w:bCs/>
          <w:spacing w:val="-2"/>
        </w:rPr>
        <w:t>plusvalenze / minusvalenze</w:t>
      </w:r>
      <w:r>
        <w:rPr>
          <w:rFonts w:ascii="Arial" w:hAnsi="Arial" w:cs="Arial"/>
          <w:spacing w:val="-2"/>
        </w:rPr>
        <w:t>;</w:t>
      </w:r>
    </w:p>
    <w:p>
      <w:pPr>
        <w:numPr>
          <w:ilvl w:val="0"/>
          <w:numId w:val="40"/>
        </w:numPr>
        <w:suppressAutoHyphens/>
        <w:autoSpaceDE w:val="0"/>
        <w:autoSpaceDN w:val="0"/>
        <w:adjustRightInd w:val="0"/>
        <w:spacing w:before="20" w:after="20" w:line="240" w:lineRule="auto"/>
        <w:ind w:left="244" w:hanging="244"/>
        <w:jc w:val="both"/>
        <w:rPr>
          <w:rFonts w:ascii="Arial" w:hAnsi="Arial" w:cs="Arial"/>
          <w:spacing w:val="-2"/>
        </w:rPr>
      </w:pPr>
      <w:r>
        <w:rPr>
          <w:rFonts w:ascii="Arial" w:hAnsi="Arial" w:cs="Arial"/>
          <w:b/>
          <w:bCs/>
          <w:spacing w:val="-2"/>
        </w:rPr>
        <w:t>redditi / quote</w:t>
      </w:r>
      <w:r>
        <w:rPr>
          <w:rFonts w:ascii="Arial" w:hAnsi="Arial" w:cs="Arial"/>
          <w:spacing w:val="-2"/>
        </w:rPr>
        <w:t xml:space="preserve"> </w:t>
      </w:r>
      <w:r>
        <w:rPr>
          <w:rFonts w:ascii="Arial" w:hAnsi="Arial" w:cs="Arial"/>
          <w:b/>
          <w:bCs/>
          <w:spacing w:val="-2"/>
        </w:rPr>
        <w:t xml:space="preserve">di redditi </w:t>
      </w:r>
      <w:r>
        <w:rPr>
          <w:rFonts w:ascii="Arial" w:hAnsi="Arial" w:cs="Arial"/>
          <w:spacing w:val="-2"/>
        </w:rPr>
        <w:t xml:space="preserve">relativi a </w:t>
      </w:r>
      <w:r>
        <w:rPr>
          <w:rFonts w:ascii="Arial" w:hAnsi="Arial" w:cs="Arial"/>
          <w:b/>
          <w:bCs/>
          <w:spacing w:val="-2"/>
        </w:rPr>
        <w:t>partecipazioni in società di persone / studi associati</w:t>
      </w:r>
      <w:r>
        <w:rPr>
          <w:rFonts w:ascii="Arial" w:hAnsi="Arial" w:cs="Arial"/>
          <w:spacing w:val="-2"/>
        </w:rPr>
        <w:t xml:space="preserve"> di cui all’art. 5, TUIR;</w:t>
      </w:r>
    </w:p>
    <w:p>
      <w:pPr>
        <w:numPr>
          <w:ilvl w:val="0"/>
          <w:numId w:val="40"/>
        </w:numPr>
        <w:suppressAutoHyphens/>
        <w:autoSpaceDE w:val="0"/>
        <w:autoSpaceDN w:val="0"/>
        <w:adjustRightInd w:val="0"/>
        <w:spacing w:before="20" w:after="20" w:line="240" w:lineRule="auto"/>
        <w:ind w:left="244" w:hanging="244"/>
        <w:jc w:val="both"/>
        <w:rPr>
          <w:rFonts w:ascii="Arial" w:hAnsi="Arial" w:cs="Arial"/>
          <w:spacing w:val="-2"/>
        </w:rPr>
      </w:pPr>
      <w:r>
        <w:rPr>
          <w:rFonts w:ascii="Arial" w:hAnsi="Arial" w:cs="Arial"/>
          <w:b/>
          <w:bCs/>
          <w:spacing w:val="-2"/>
        </w:rPr>
        <w:t>corrispettivi</w:t>
      </w:r>
      <w:r>
        <w:rPr>
          <w:rFonts w:ascii="Arial" w:hAnsi="Arial" w:cs="Arial"/>
          <w:spacing w:val="-2"/>
        </w:rPr>
        <w:t xml:space="preserve"> percepiti a seguito di </w:t>
      </w:r>
      <w:r>
        <w:rPr>
          <w:rFonts w:ascii="Arial" w:hAnsi="Arial" w:cs="Arial"/>
          <w:b/>
          <w:bCs/>
          <w:spacing w:val="-2"/>
        </w:rPr>
        <w:t>cessione della clientela / elementi immateriali</w:t>
      </w:r>
      <w:r>
        <w:rPr>
          <w:rFonts w:ascii="Arial" w:hAnsi="Arial" w:cs="Arial"/>
          <w:spacing w:val="-2"/>
        </w:rPr>
        <w:t>.</w:t>
      </w:r>
    </w:p>
    <w:p>
      <w:pPr>
        <w:pStyle w:val="Corpotesto"/>
        <w:spacing w:before="60" w:after="60" w:line="240" w:lineRule="auto"/>
        <w:jc w:val="both"/>
        <w:rPr>
          <w:rFonts w:ascii="Arial" w:hAnsi="Arial" w:cs="Arial"/>
          <w:spacing w:val="-4"/>
        </w:rPr>
      </w:pPr>
      <w:r>
        <w:rPr>
          <w:rFonts w:ascii="Arial" w:hAnsi="Arial" w:cs="Arial"/>
          <w:spacing w:val="-4"/>
        </w:rPr>
        <w:t xml:space="preserve">La lett. a) del comma 1 dell’art. 13 del Decreto in esame, integra il citato art. 15, modificando, a decorrere dall’adesione al CPB 2025-2026, l’individuazione del reddito di lavoro autonomo oggetto di CPB. </w:t>
      </w:r>
      <w:r>
        <w:rPr>
          <w:rFonts w:ascii="Arial" w:hAnsi="Arial" w:cs="Arial"/>
          <w:spacing w:val="-2"/>
        </w:rPr>
        <w:t xml:space="preserve">In particolare, a seguito di tale modifica, il reddito di lavoro autonomo proposto è individuato </w:t>
      </w:r>
      <w:r>
        <w:rPr>
          <w:rFonts w:ascii="Arial" w:hAnsi="Arial" w:cs="Arial"/>
          <w:b/>
          <w:bCs/>
          <w:spacing w:val="-2"/>
        </w:rPr>
        <w:t>senza considerare anche</w:t>
      </w:r>
      <w:r>
        <w:rPr>
          <w:rFonts w:ascii="Arial" w:hAnsi="Arial" w:cs="Arial"/>
          <w:spacing w:val="-2"/>
        </w:rPr>
        <w:t xml:space="preserve"> </w:t>
      </w:r>
      <w:r>
        <w:rPr>
          <w:rFonts w:ascii="Arial" w:hAnsi="Arial" w:cs="Arial"/>
          <w:b/>
          <w:bCs/>
          <w:spacing w:val="-2"/>
        </w:rPr>
        <w:t>la maggiorazione del costo del lavoro</w:t>
      </w:r>
      <w:r>
        <w:rPr>
          <w:rFonts w:ascii="Arial" w:hAnsi="Arial" w:cs="Arial"/>
          <w:spacing w:val="-2"/>
        </w:rPr>
        <w:t xml:space="preserve"> spettante ai sensi dell’art. 4, D.Lgs. n. 216/2023, </w:t>
      </w:r>
      <w:r>
        <w:rPr>
          <w:rFonts w:ascii="Arial" w:hAnsi="Arial" w:cs="Arial"/>
          <w:b/>
          <w:bCs/>
          <w:spacing w:val="-2"/>
        </w:rPr>
        <w:t>c.d. “maxi deduzione”</w:t>
      </w:r>
      <w:r>
        <w:rPr>
          <w:rFonts w:ascii="Arial" w:hAnsi="Arial" w:cs="Arial"/>
          <w:spacing w:val="-2"/>
        </w:rPr>
        <w:t>.</w:t>
      </w:r>
    </w:p>
    <w:p>
      <w:pPr>
        <w:pStyle w:val="Corpotesto"/>
        <w:spacing w:after="80" w:line="240" w:lineRule="auto"/>
        <w:jc w:val="both"/>
        <w:rPr>
          <w:rFonts w:ascii="Arial" w:hAnsi="Arial" w:cs="Arial"/>
          <w:spacing w:val="-2"/>
        </w:rPr>
      </w:pPr>
      <w:r>
        <w:rPr>
          <w:rFonts w:ascii="Arial" w:hAnsi="Arial" w:cs="Arial"/>
          <w:spacing w:val="-2"/>
        </w:rPr>
        <w:t>Il saldo netto tra le plusvalenze / minusvalenze, nonché i corrispettivi percepiti a seguito di cessione della clientela, di elementi immateriali, la</w:t>
      </w:r>
      <w:r>
        <w:rPr>
          <w:rFonts w:ascii="Arial" w:hAnsi="Arial" w:cs="Arial"/>
          <w:b/>
          <w:bCs/>
          <w:spacing w:val="-2"/>
        </w:rPr>
        <w:t xml:space="preserve"> </w:t>
      </w:r>
      <w:r>
        <w:rPr>
          <w:rFonts w:ascii="Arial" w:hAnsi="Arial" w:cs="Arial"/>
          <w:spacing w:val="-2"/>
        </w:rPr>
        <w:t>“</w:t>
      </w:r>
      <w:r>
        <w:rPr>
          <w:rFonts w:ascii="Arial" w:hAnsi="Arial" w:cs="Arial"/>
          <w:b/>
          <w:bCs/>
          <w:spacing w:val="-2"/>
        </w:rPr>
        <w:t>maxi deduzione</w:t>
      </w:r>
      <w:r>
        <w:rPr>
          <w:rFonts w:ascii="Arial" w:hAnsi="Arial" w:cs="Arial"/>
          <w:spacing w:val="-2"/>
        </w:rPr>
        <w:t>”</w:t>
      </w:r>
      <w:r>
        <w:rPr>
          <w:rFonts w:ascii="Arial" w:hAnsi="Arial" w:cs="Arial"/>
          <w:b/>
          <w:bCs/>
          <w:spacing w:val="-2"/>
        </w:rPr>
        <w:t xml:space="preserve"> </w:t>
      </w:r>
      <w:r>
        <w:rPr>
          <w:rFonts w:ascii="Arial" w:hAnsi="Arial" w:cs="Arial"/>
          <w:spacing w:val="-2"/>
        </w:rPr>
        <w:t xml:space="preserve">del costo del lavoro e i redditi derivanti dalle predette partecipazioni determina una </w:t>
      </w:r>
      <w:r>
        <w:rPr>
          <w:rFonts w:ascii="Arial" w:hAnsi="Arial" w:cs="Arial"/>
          <w:b/>
          <w:bCs/>
          <w:spacing w:val="-2"/>
        </w:rPr>
        <w:t>corrispondente variazione del reddito concordato</w:t>
      </w:r>
      <w:r>
        <w:rPr>
          <w:rFonts w:ascii="Arial" w:hAnsi="Arial" w:cs="Arial"/>
          <w:spacing w:val="-2"/>
        </w:rPr>
        <w:t>.</w:t>
      </w:r>
    </w:p>
    <w:tbl>
      <w:tblPr>
        <w:tblW w:w="0" w:type="auto"/>
        <w:jc w:val="center"/>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6010"/>
      </w:tblGrid>
      <w:tr>
        <w:trPr>
          <w:jc w:val="center"/>
        </w:trPr>
        <w:tc>
          <w:tcPr>
            <w:tcW w:w="722" w:type="dxa"/>
            <w:tcBorders>
              <w:top w:val="single" w:sz="4" w:space="0" w:color="auto"/>
              <w:left w:val="single" w:sz="4" w:space="0" w:color="auto"/>
              <w:bottom w:val="single" w:sz="4" w:space="0" w:color="auto"/>
              <w:right w:val="single" w:sz="4" w:space="0" w:color="auto"/>
            </w:tcBorders>
            <w:vAlign w:val="center"/>
          </w:tcPr>
          <w:p>
            <w:pPr>
              <w:pStyle w:val="Corpotesto"/>
              <w:spacing w:before="20" w:after="20" w:line="240" w:lineRule="auto"/>
              <w:jc w:val="center"/>
              <w:rPr>
                <w:rFonts w:ascii="Arial" w:eastAsia="Times New Roman" w:hAnsi="Arial" w:cs="Arial"/>
                <w:spacing w:val="-2"/>
              </w:rPr>
            </w:pPr>
          </w:p>
        </w:tc>
        <w:tc>
          <w:tcPr>
            <w:tcW w:w="6010"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60" w:after="60" w:line="240" w:lineRule="auto"/>
              <w:jc w:val="both"/>
              <w:rPr>
                <w:rFonts w:ascii="Arial" w:eastAsia="Times New Roman" w:hAnsi="Arial" w:cs="Arial"/>
                <w:spacing w:val="-2"/>
              </w:rPr>
            </w:pPr>
            <w:r>
              <w:rPr>
                <w:rFonts w:ascii="Arial" w:eastAsia="Times New Roman" w:hAnsi="Arial" w:cs="Arial"/>
                <w:spacing w:val="-2"/>
              </w:rPr>
              <w:t>Reddito concordato</w:t>
            </w:r>
          </w:p>
        </w:tc>
      </w:tr>
      <w:tr>
        <w:trPr>
          <w:jc w:val="center"/>
        </w:trPr>
        <w:tc>
          <w:tcPr>
            <w:tcW w:w="722"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20" w:after="20" w:line="240" w:lineRule="auto"/>
              <w:jc w:val="center"/>
              <w:rPr>
                <w:rFonts w:ascii="Arial" w:eastAsia="Times New Roman" w:hAnsi="Arial" w:cs="Arial"/>
                <w:spacing w:val="-2"/>
              </w:rPr>
            </w:pPr>
            <w:r>
              <w:rPr>
                <w:rFonts w:ascii="Arial" w:eastAsia="Times New Roman" w:hAnsi="Arial" w:cs="Arial"/>
                <w:spacing w:val="-2"/>
              </w:rPr>
              <w:t>+ / -</w:t>
            </w:r>
          </w:p>
        </w:tc>
        <w:tc>
          <w:tcPr>
            <w:tcW w:w="6010"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60" w:after="60" w:line="240" w:lineRule="auto"/>
              <w:jc w:val="both"/>
              <w:rPr>
                <w:rFonts w:ascii="Arial" w:eastAsia="Times New Roman" w:hAnsi="Arial" w:cs="Arial"/>
                <w:spacing w:val="-2"/>
              </w:rPr>
            </w:pPr>
            <w:r>
              <w:rPr>
                <w:rFonts w:ascii="Arial" w:eastAsia="Times New Roman" w:hAnsi="Arial" w:cs="Arial"/>
                <w:spacing w:val="-2"/>
              </w:rPr>
              <w:t>saldo netto plus / minusvalenze / corrispettivi cessione clientela o elementi immateriali / “maxi deduzione” costo del lavoro</w:t>
            </w:r>
            <w:r>
              <w:rPr>
                <w:rFonts w:ascii="Arial" w:eastAsia="Times New Roman" w:hAnsi="Arial" w:cs="Arial"/>
                <w:b/>
                <w:bCs/>
                <w:spacing w:val="-2"/>
              </w:rPr>
              <w:t xml:space="preserve"> / </w:t>
            </w:r>
            <w:r>
              <w:rPr>
                <w:rFonts w:ascii="Arial" w:eastAsia="Times New Roman" w:hAnsi="Arial" w:cs="Arial"/>
                <w:spacing w:val="-2"/>
              </w:rPr>
              <w:t>redditi da partecipazione in soggetti ex art. 5, TUIR</w:t>
            </w:r>
          </w:p>
        </w:tc>
      </w:tr>
      <w:tr>
        <w:trPr>
          <w:jc w:val="center"/>
        </w:trPr>
        <w:tc>
          <w:tcPr>
            <w:tcW w:w="722"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20" w:after="20" w:line="240" w:lineRule="auto"/>
              <w:jc w:val="center"/>
              <w:rPr>
                <w:rFonts w:ascii="Arial" w:eastAsia="Times New Roman" w:hAnsi="Arial" w:cs="Arial"/>
                <w:spacing w:val="-2"/>
              </w:rPr>
            </w:pPr>
            <w:r>
              <w:rPr>
                <w:rFonts w:ascii="Arial" w:eastAsia="Times New Roman" w:hAnsi="Arial" w:cs="Arial"/>
                <w:spacing w:val="-2"/>
              </w:rPr>
              <w:t>=</w:t>
            </w:r>
          </w:p>
        </w:tc>
        <w:tc>
          <w:tcPr>
            <w:tcW w:w="6010"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60" w:after="60" w:line="240" w:lineRule="auto"/>
              <w:jc w:val="both"/>
              <w:rPr>
                <w:rFonts w:ascii="Arial" w:eastAsia="Times New Roman" w:hAnsi="Arial" w:cs="Arial"/>
                <w:spacing w:val="-2"/>
              </w:rPr>
            </w:pPr>
            <w:r>
              <w:rPr>
                <w:rFonts w:ascii="Arial" w:eastAsia="Times New Roman" w:hAnsi="Arial" w:cs="Arial"/>
                <w:b/>
                <w:bCs/>
                <w:spacing w:val="-2"/>
              </w:rPr>
              <w:t>reddito di lavoro autonomo da dichiarare</w:t>
            </w:r>
          </w:p>
        </w:tc>
      </w:tr>
    </w:tbl>
    <w:p>
      <w:pPr>
        <w:pStyle w:val="Corpotesto"/>
        <w:spacing w:before="120" w:after="60" w:line="240" w:lineRule="auto"/>
        <w:jc w:val="both"/>
        <w:rPr>
          <w:rFonts w:ascii="Arial" w:hAnsi="Arial" w:cs="Arial"/>
          <w:b/>
          <w:bCs/>
          <w:spacing w:val="-2"/>
          <w:sz w:val="24"/>
          <w:szCs w:val="24"/>
        </w:rPr>
      </w:pPr>
      <w:r>
        <w:rPr>
          <w:rFonts w:ascii="Arial" w:hAnsi="Arial" w:cs="Arial"/>
          <w:b/>
          <w:i/>
          <w:sz w:val="24"/>
          <w:szCs w:val="24"/>
        </w:rPr>
        <w:lastRenderedPageBreak/>
        <w:t xml:space="preserve">Determinazione reddito </w:t>
      </w:r>
      <w:r>
        <w:rPr>
          <w:rFonts w:ascii="Arial" w:hAnsi="Arial" w:cs="Arial"/>
          <w:b/>
          <w:bCs/>
          <w:spacing w:val="-2"/>
          <w:sz w:val="24"/>
          <w:szCs w:val="24"/>
        </w:rPr>
        <w:t>d’impresa concordato</w:t>
      </w:r>
    </w:p>
    <w:p>
      <w:pPr>
        <w:pStyle w:val="Corpotesto"/>
        <w:spacing w:after="60" w:line="240" w:lineRule="auto"/>
        <w:jc w:val="both"/>
        <w:rPr>
          <w:rFonts w:ascii="Arial" w:hAnsi="Arial" w:cs="Arial"/>
          <w:spacing w:val="-2"/>
        </w:rPr>
      </w:pPr>
      <w:r>
        <w:rPr>
          <w:rFonts w:ascii="Arial" w:hAnsi="Arial" w:cs="Arial"/>
          <w:spacing w:val="-2"/>
        </w:rPr>
        <w:t xml:space="preserve">Ai sensi dell’art. 16, comma 1, lett. a) e b), D.Lgs. n. 13/2024, il </w:t>
      </w:r>
      <w:r>
        <w:rPr>
          <w:rFonts w:ascii="Arial" w:hAnsi="Arial" w:cs="Arial"/>
          <w:b/>
          <w:bCs/>
          <w:spacing w:val="-2"/>
        </w:rPr>
        <w:t>reddito d’impresa</w:t>
      </w:r>
      <w:r>
        <w:rPr>
          <w:rFonts w:ascii="Arial" w:hAnsi="Arial" w:cs="Arial"/>
          <w:spacing w:val="-2"/>
        </w:rPr>
        <w:t xml:space="preserve"> </w:t>
      </w:r>
      <w:r>
        <w:rPr>
          <w:rFonts w:ascii="Arial" w:hAnsi="Arial" w:cs="Arial"/>
          <w:b/>
          <w:bCs/>
          <w:spacing w:val="-2"/>
        </w:rPr>
        <w:t xml:space="preserve">utilizzato per la formulazione della proposta </w:t>
      </w:r>
      <w:r>
        <w:rPr>
          <w:rFonts w:ascii="Arial" w:hAnsi="Arial" w:cs="Arial"/>
          <w:spacing w:val="-2"/>
        </w:rPr>
        <w:t xml:space="preserve">è individuato con riferimento alle regole ordinarie, a seconda della tipologia di contabilità adottata (ordinaria / semplificata), </w:t>
      </w:r>
      <w:r>
        <w:rPr>
          <w:rFonts w:ascii="Arial" w:hAnsi="Arial" w:cs="Arial"/>
          <w:b/>
          <w:bCs/>
          <w:spacing w:val="-2"/>
        </w:rPr>
        <w:t>senza considerare</w:t>
      </w:r>
      <w:r>
        <w:rPr>
          <w:rFonts w:ascii="Arial" w:hAnsi="Arial" w:cs="Arial"/>
          <w:spacing w:val="-2"/>
        </w:rPr>
        <w:t>:</w:t>
      </w:r>
    </w:p>
    <w:p>
      <w:pPr>
        <w:numPr>
          <w:ilvl w:val="0"/>
          <w:numId w:val="40"/>
        </w:numPr>
        <w:suppressAutoHyphens/>
        <w:autoSpaceDE w:val="0"/>
        <w:autoSpaceDN w:val="0"/>
        <w:adjustRightInd w:val="0"/>
        <w:spacing w:before="40" w:after="40" w:line="240" w:lineRule="auto"/>
        <w:ind w:left="244" w:hanging="244"/>
        <w:jc w:val="both"/>
        <w:rPr>
          <w:rFonts w:ascii="Arial" w:hAnsi="Arial" w:cs="Arial"/>
          <w:spacing w:val="-2"/>
        </w:rPr>
      </w:pPr>
      <w:r>
        <w:rPr>
          <w:rFonts w:ascii="Arial" w:hAnsi="Arial" w:cs="Arial"/>
          <w:b/>
          <w:bCs/>
          <w:spacing w:val="-2"/>
        </w:rPr>
        <w:t>plusvalenze</w:t>
      </w:r>
      <w:r>
        <w:rPr>
          <w:rFonts w:ascii="Arial" w:hAnsi="Arial" w:cs="Arial"/>
          <w:spacing w:val="-2"/>
        </w:rPr>
        <w:t xml:space="preserve"> </w:t>
      </w:r>
      <w:r>
        <w:rPr>
          <w:rFonts w:ascii="Arial" w:hAnsi="Arial" w:cs="Arial"/>
          <w:b/>
          <w:bCs/>
          <w:spacing w:val="-2"/>
        </w:rPr>
        <w:t>/</w:t>
      </w:r>
      <w:r>
        <w:rPr>
          <w:rFonts w:ascii="Arial" w:hAnsi="Arial" w:cs="Arial"/>
          <w:spacing w:val="-2"/>
        </w:rPr>
        <w:t xml:space="preserve"> </w:t>
      </w:r>
      <w:r>
        <w:rPr>
          <w:rFonts w:ascii="Arial" w:hAnsi="Arial" w:cs="Arial"/>
          <w:b/>
          <w:bCs/>
          <w:spacing w:val="-2"/>
        </w:rPr>
        <w:t>sopravvenienze</w:t>
      </w:r>
      <w:r>
        <w:rPr>
          <w:rFonts w:ascii="Arial" w:hAnsi="Arial" w:cs="Arial"/>
          <w:spacing w:val="-2"/>
        </w:rPr>
        <w:t xml:space="preserve"> </w:t>
      </w:r>
      <w:r>
        <w:rPr>
          <w:rFonts w:ascii="Arial" w:hAnsi="Arial" w:cs="Arial"/>
          <w:b/>
          <w:bCs/>
          <w:spacing w:val="-2"/>
        </w:rPr>
        <w:t>attive</w:t>
      </w:r>
      <w:r>
        <w:rPr>
          <w:rFonts w:ascii="Arial" w:hAnsi="Arial" w:cs="Arial"/>
          <w:spacing w:val="-2"/>
        </w:rPr>
        <w:t xml:space="preserve">, nonché </w:t>
      </w:r>
      <w:r>
        <w:rPr>
          <w:rFonts w:ascii="Arial" w:hAnsi="Arial" w:cs="Arial"/>
          <w:b/>
          <w:bCs/>
          <w:spacing w:val="-2"/>
        </w:rPr>
        <w:t xml:space="preserve">minusvalenze / sopravvenienze passive e perdite su crediti </w:t>
      </w:r>
      <w:r>
        <w:rPr>
          <w:rFonts w:ascii="Arial" w:hAnsi="Arial" w:cs="Arial"/>
          <w:spacing w:val="-2"/>
        </w:rPr>
        <w:t>(lett. a);</w:t>
      </w:r>
    </w:p>
    <w:p>
      <w:pPr>
        <w:numPr>
          <w:ilvl w:val="0"/>
          <w:numId w:val="40"/>
        </w:numPr>
        <w:suppressAutoHyphens/>
        <w:autoSpaceDE w:val="0"/>
        <w:autoSpaceDN w:val="0"/>
        <w:adjustRightInd w:val="0"/>
        <w:spacing w:before="40" w:after="60" w:line="240" w:lineRule="auto"/>
        <w:ind w:left="244" w:hanging="244"/>
        <w:jc w:val="both"/>
        <w:rPr>
          <w:rFonts w:ascii="Arial" w:hAnsi="Arial" w:cs="Arial"/>
          <w:spacing w:val="-2"/>
        </w:rPr>
      </w:pPr>
      <w:r>
        <w:rPr>
          <w:rFonts w:ascii="Arial" w:hAnsi="Arial" w:cs="Arial"/>
          <w:b/>
          <w:bCs/>
          <w:spacing w:val="-2"/>
        </w:rPr>
        <w:t>utili / perdite</w:t>
      </w:r>
      <w:r>
        <w:rPr>
          <w:rFonts w:ascii="Arial" w:hAnsi="Arial" w:cs="Arial"/>
          <w:spacing w:val="-2"/>
        </w:rPr>
        <w:t xml:space="preserve"> derivanti da partecipazioni </w:t>
      </w:r>
      <w:r>
        <w:rPr>
          <w:rFonts w:ascii="Arial" w:hAnsi="Arial" w:cs="Arial"/>
          <w:b/>
          <w:bCs/>
          <w:spacing w:val="-2"/>
        </w:rPr>
        <w:t>in società di persone / studi associati</w:t>
      </w:r>
      <w:r>
        <w:rPr>
          <w:rFonts w:ascii="Arial" w:hAnsi="Arial" w:cs="Arial"/>
          <w:spacing w:val="-2"/>
        </w:rPr>
        <w:t xml:space="preserve"> o in </w:t>
      </w:r>
      <w:r>
        <w:rPr>
          <w:rFonts w:ascii="Arial" w:hAnsi="Arial" w:cs="Arial"/>
          <w:b/>
          <w:bCs/>
          <w:spacing w:val="-2"/>
        </w:rPr>
        <w:t>società di capitali</w:t>
      </w:r>
      <w:r>
        <w:rPr>
          <w:rFonts w:ascii="Arial" w:hAnsi="Arial" w:cs="Arial"/>
          <w:spacing w:val="-2"/>
        </w:rPr>
        <w:t xml:space="preserve"> </w:t>
      </w:r>
      <w:r>
        <w:rPr>
          <w:rFonts w:ascii="Arial" w:hAnsi="Arial" w:cs="Arial"/>
          <w:b/>
          <w:bCs/>
          <w:spacing w:val="-2"/>
        </w:rPr>
        <w:t>trasparenti</w:t>
      </w:r>
      <w:r>
        <w:rPr>
          <w:rFonts w:ascii="Arial" w:hAnsi="Arial" w:cs="Arial"/>
          <w:spacing w:val="-2"/>
        </w:rPr>
        <w:t xml:space="preserve">, o </w:t>
      </w:r>
      <w:r>
        <w:rPr>
          <w:rFonts w:ascii="Arial" w:hAnsi="Arial" w:cs="Arial"/>
          <w:b/>
          <w:bCs/>
          <w:spacing w:val="-2"/>
        </w:rPr>
        <w:t>utili distribuiti</w:t>
      </w:r>
      <w:r>
        <w:rPr>
          <w:rFonts w:ascii="Arial" w:hAnsi="Arial" w:cs="Arial"/>
          <w:spacing w:val="-2"/>
        </w:rPr>
        <w:t xml:space="preserve">, in qualsiasi forma e sotto qualsiasi denominazione, da </w:t>
      </w:r>
      <w:r>
        <w:rPr>
          <w:rFonts w:ascii="Arial" w:hAnsi="Arial" w:cs="Arial"/>
          <w:b/>
          <w:bCs/>
          <w:spacing w:val="-2"/>
        </w:rPr>
        <w:t xml:space="preserve">società / enti </w:t>
      </w:r>
      <w:r>
        <w:rPr>
          <w:rFonts w:ascii="Arial" w:hAnsi="Arial" w:cs="Arial"/>
          <w:spacing w:val="-2"/>
        </w:rPr>
        <w:t xml:space="preserve">ex art. 73, comma 1, TUIR (spa, srl, ecc.). Al fine dell’individuazione di questi ultimi, vanno applicate le regole ordinarie di cui agli artt. 59 e 89, TUIR (lett. b). </w:t>
      </w:r>
    </w:p>
    <w:p>
      <w:pPr>
        <w:pStyle w:val="Corpotesto"/>
        <w:spacing w:after="60" w:line="240" w:lineRule="auto"/>
        <w:jc w:val="both"/>
        <w:rPr>
          <w:rFonts w:ascii="Arial" w:hAnsi="Arial" w:cs="Arial"/>
          <w:spacing w:val="-2"/>
        </w:rPr>
      </w:pPr>
      <w:r>
        <w:rPr>
          <w:rFonts w:ascii="Arial" w:hAnsi="Arial" w:cs="Arial"/>
          <w:spacing w:val="-2"/>
        </w:rPr>
        <w:t xml:space="preserve">La lett. b) del comma 1 dell’art. 13 del Decreto in esame integra la lett. b) del citato art. 16, prevedendo che, a decorrere dall’adesione al CPB 2025-2026, ai fini della determinazione del reddito d’impresa proposto al soggetto non va considerata anche la </w:t>
      </w:r>
      <w:r>
        <w:rPr>
          <w:rFonts w:ascii="Arial" w:hAnsi="Arial" w:cs="Arial"/>
          <w:b/>
          <w:bCs/>
          <w:spacing w:val="-2"/>
        </w:rPr>
        <w:t>maggiorazione del costo del lavoro</w:t>
      </w:r>
      <w:r>
        <w:rPr>
          <w:rFonts w:ascii="Arial" w:hAnsi="Arial" w:cs="Arial"/>
          <w:spacing w:val="-2"/>
        </w:rPr>
        <w:t xml:space="preserve"> spettante ai sensi dell’art. 4, D.Lgs. n. 216/2023, </w:t>
      </w:r>
      <w:r>
        <w:rPr>
          <w:rFonts w:ascii="Arial" w:hAnsi="Arial" w:cs="Arial"/>
          <w:b/>
          <w:bCs/>
          <w:spacing w:val="-2"/>
        </w:rPr>
        <w:t>c.d. “maxi deduzione”</w:t>
      </w:r>
      <w:r>
        <w:rPr>
          <w:rFonts w:ascii="Arial" w:hAnsi="Arial" w:cs="Arial"/>
          <w:spacing w:val="-2"/>
        </w:rPr>
        <w:t>.</w:t>
      </w:r>
    </w:p>
    <w:p>
      <w:pPr>
        <w:pStyle w:val="Corpotesto"/>
        <w:spacing w:line="240" w:lineRule="auto"/>
        <w:jc w:val="both"/>
        <w:rPr>
          <w:rFonts w:ascii="Arial" w:hAnsi="Arial" w:cs="Arial"/>
          <w:spacing w:val="-2"/>
        </w:rPr>
      </w:pPr>
      <w:r>
        <w:rPr>
          <w:rFonts w:ascii="Arial" w:hAnsi="Arial" w:cs="Arial"/>
          <w:spacing w:val="-2"/>
        </w:rPr>
        <w:t>Il saldo netto tra le plusvalenze, le sopravvenienze attive, le minusvalenze, le sopravvenienze passive, le perdite su crediti, la “</w:t>
      </w:r>
      <w:r>
        <w:rPr>
          <w:rFonts w:ascii="Arial" w:hAnsi="Arial" w:cs="Arial"/>
          <w:b/>
          <w:bCs/>
          <w:spacing w:val="-2"/>
        </w:rPr>
        <w:t>maxi deduzione</w:t>
      </w:r>
      <w:r>
        <w:rPr>
          <w:rFonts w:ascii="Arial" w:hAnsi="Arial" w:cs="Arial"/>
          <w:spacing w:val="-2"/>
        </w:rPr>
        <w:t xml:space="preserve">” del costo del lavoro, nonché gli utili / perdite derivanti dalle predette partecipazioni determina una </w:t>
      </w:r>
      <w:r>
        <w:rPr>
          <w:rFonts w:ascii="Arial" w:hAnsi="Arial" w:cs="Arial"/>
          <w:b/>
          <w:bCs/>
          <w:spacing w:val="-2"/>
        </w:rPr>
        <w:t>corrispondente variazione del reddito concordato</w:t>
      </w:r>
      <w:r>
        <w:rPr>
          <w:rFonts w:ascii="Arial" w:hAnsi="Arial" w:cs="Arial"/>
          <w:spacing w:val="-2"/>
        </w:rPr>
        <w:t>. Le perdite fiscali conseguite nei periodi d’imposta precedenti riducono il reddito in base alle disposizioni contenute negli artt. 8 e 84, TUIR.</w:t>
      </w:r>
    </w:p>
    <w:tbl>
      <w:tblPr>
        <w:tblW w:w="0" w:type="auto"/>
        <w:jc w:val="center"/>
        <w:tblInd w:w="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
        <w:gridCol w:w="6165"/>
      </w:tblGrid>
      <w:tr>
        <w:trPr>
          <w:jc w:val="center"/>
        </w:trPr>
        <w:tc>
          <w:tcPr>
            <w:tcW w:w="343" w:type="dxa"/>
            <w:tcBorders>
              <w:top w:val="single" w:sz="4" w:space="0" w:color="auto"/>
              <w:left w:val="single" w:sz="4" w:space="0" w:color="auto"/>
              <w:bottom w:val="single" w:sz="4" w:space="0" w:color="auto"/>
              <w:right w:val="single" w:sz="4" w:space="0" w:color="auto"/>
            </w:tcBorders>
            <w:vAlign w:val="center"/>
          </w:tcPr>
          <w:p>
            <w:pPr>
              <w:pStyle w:val="Corpotesto"/>
              <w:spacing w:before="20" w:after="20" w:line="240" w:lineRule="auto"/>
              <w:jc w:val="center"/>
              <w:rPr>
                <w:rFonts w:ascii="Arial" w:eastAsia="Times New Roman" w:hAnsi="Arial" w:cs="Arial"/>
                <w:spacing w:val="-2"/>
              </w:rPr>
            </w:pPr>
          </w:p>
        </w:tc>
        <w:tc>
          <w:tcPr>
            <w:tcW w:w="6165"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60" w:after="60" w:line="240" w:lineRule="auto"/>
              <w:jc w:val="both"/>
              <w:rPr>
                <w:rFonts w:ascii="Arial" w:eastAsia="Times New Roman" w:hAnsi="Arial" w:cs="Arial"/>
                <w:spacing w:val="-2"/>
              </w:rPr>
            </w:pPr>
            <w:r>
              <w:rPr>
                <w:rFonts w:ascii="Arial" w:eastAsia="Times New Roman" w:hAnsi="Arial" w:cs="Arial"/>
                <w:spacing w:val="-2"/>
              </w:rPr>
              <w:t>Reddito concordato</w:t>
            </w:r>
          </w:p>
        </w:tc>
      </w:tr>
      <w:tr>
        <w:trPr>
          <w:jc w:val="center"/>
        </w:trPr>
        <w:tc>
          <w:tcPr>
            <w:tcW w:w="343"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20" w:after="20" w:line="240" w:lineRule="auto"/>
              <w:jc w:val="center"/>
              <w:rPr>
                <w:rFonts w:ascii="Arial" w:eastAsia="Times New Roman" w:hAnsi="Arial" w:cs="Arial"/>
                <w:spacing w:val="-2"/>
              </w:rPr>
            </w:pPr>
            <w:r>
              <w:rPr>
                <w:rFonts w:ascii="Arial" w:eastAsia="Times New Roman" w:hAnsi="Arial" w:cs="Arial"/>
                <w:spacing w:val="-2"/>
              </w:rPr>
              <w:t>+ / -</w:t>
            </w:r>
          </w:p>
        </w:tc>
        <w:tc>
          <w:tcPr>
            <w:tcW w:w="6165"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60" w:after="60" w:line="240" w:lineRule="auto"/>
              <w:jc w:val="both"/>
              <w:rPr>
                <w:rFonts w:ascii="Arial" w:eastAsia="Times New Roman" w:hAnsi="Arial" w:cs="Arial"/>
                <w:spacing w:val="-2"/>
              </w:rPr>
            </w:pPr>
            <w:r>
              <w:rPr>
                <w:rFonts w:ascii="Arial" w:eastAsia="Times New Roman" w:hAnsi="Arial" w:cs="Arial"/>
                <w:spacing w:val="-2"/>
              </w:rPr>
              <w:t>saldo netto plus / minusvalenze, sopravvenienze attive / passive, perdite su crediti / “maxi deduzione” costo del lavoro / utili / perdite da partecipazione in società di persone / capitali</w:t>
            </w:r>
          </w:p>
        </w:tc>
      </w:tr>
      <w:tr>
        <w:trPr>
          <w:jc w:val="center"/>
        </w:trPr>
        <w:tc>
          <w:tcPr>
            <w:tcW w:w="343"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20" w:after="20" w:line="240" w:lineRule="auto"/>
              <w:jc w:val="center"/>
              <w:rPr>
                <w:rFonts w:ascii="Arial" w:eastAsia="Times New Roman" w:hAnsi="Arial" w:cs="Arial"/>
                <w:spacing w:val="-2"/>
              </w:rPr>
            </w:pPr>
            <w:r>
              <w:rPr>
                <w:rFonts w:ascii="Arial" w:eastAsia="Times New Roman" w:hAnsi="Arial" w:cs="Arial"/>
                <w:spacing w:val="-2"/>
              </w:rPr>
              <w:t>-</w:t>
            </w:r>
          </w:p>
        </w:tc>
        <w:tc>
          <w:tcPr>
            <w:tcW w:w="6165"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60" w:after="60" w:line="240" w:lineRule="auto"/>
              <w:jc w:val="both"/>
              <w:rPr>
                <w:rFonts w:ascii="Arial" w:eastAsia="Times New Roman" w:hAnsi="Arial" w:cs="Arial"/>
                <w:spacing w:val="-2"/>
              </w:rPr>
            </w:pPr>
            <w:r>
              <w:rPr>
                <w:rFonts w:ascii="Arial" w:eastAsia="Times New Roman" w:hAnsi="Arial" w:cs="Arial"/>
                <w:spacing w:val="-2"/>
              </w:rPr>
              <w:t>perdite fiscali pregresse</w:t>
            </w:r>
          </w:p>
        </w:tc>
      </w:tr>
      <w:tr>
        <w:trPr>
          <w:jc w:val="center"/>
        </w:trPr>
        <w:tc>
          <w:tcPr>
            <w:tcW w:w="343"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20" w:after="20" w:line="240" w:lineRule="auto"/>
              <w:jc w:val="center"/>
              <w:rPr>
                <w:rFonts w:ascii="Arial" w:eastAsia="Times New Roman" w:hAnsi="Arial" w:cs="Arial"/>
                <w:spacing w:val="-2"/>
              </w:rPr>
            </w:pPr>
            <w:r>
              <w:rPr>
                <w:rFonts w:ascii="Arial" w:eastAsia="Times New Roman" w:hAnsi="Arial" w:cs="Arial"/>
                <w:spacing w:val="-2"/>
              </w:rPr>
              <w:t>=</w:t>
            </w:r>
          </w:p>
        </w:tc>
        <w:tc>
          <w:tcPr>
            <w:tcW w:w="6165" w:type="dxa"/>
            <w:tcBorders>
              <w:top w:val="single" w:sz="4" w:space="0" w:color="auto"/>
              <w:left w:val="single" w:sz="4" w:space="0" w:color="auto"/>
              <w:bottom w:val="single" w:sz="4" w:space="0" w:color="auto"/>
              <w:right w:val="single" w:sz="4" w:space="0" w:color="auto"/>
            </w:tcBorders>
            <w:vAlign w:val="center"/>
            <w:hideMark/>
          </w:tcPr>
          <w:p>
            <w:pPr>
              <w:pStyle w:val="Corpotesto"/>
              <w:spacing w:before="60" w:after="60" w:line="240" w:lineRule="auto"/>
              <w:jc w:val="both"/>
              <w:rPr>
                <w:rFonts w:ascii="Arial" w:eastAsia="Times New Roman" w:hAnsi="Arial" w:cs="Arial"/>
                <w:spacing w:val="-2"/>
              </w:rPr>
            </w:pPr>
            <w:r>
              <w:rPr>
                <w:rFonts w:ascii="Arial" w:eastAsia="Times New Roman" w:hAnsi="Arial" w:cs="Arial"/>
                <w:b/>
                <w:bCs/>
                <w:spacing w:val="-2"/>
              </w:rPr>
              <w:t>reddito d’impresa da dichiarare</w:t>
            </w:r>
          </w:p>
        </w:tc>
      </w:tr>
    </w:tbl>
    <w:p>
      <w:pPr>
        <w:pStyle w:val="TITOLOMANFREDI"/>
        <w:rPr>
          <w:rFonts w:ascii="Arial Grassetto" w:hAnsi="Arial Grassetto"/>
          <w:caps/>
        </w:rPr>
      </w:pPr>
      <w:r>
        <w:rPr>
          <w:rFonts w:ascii="Arial Grassetto" w:hAnsi="Arial Grassetto"/>
          <w:caps/>
        </w:rPr>
        <w:t xml:space="preserve">propostA DI CPB PER i soggetti con elevatA affidabilità fiscale </w:t>
      </w:r>
    </w:p>
    <w:p>
      <w:pPr>
        <w:pStyle w:val="Corpotesto"/>
        <w:spacing w:after="60" w:line="240" w:lineRule="auto"/>
        <w:jc w:val="both"/>
        <w:rPr>
          <w:rFonts w:ascii="Arial" w:hAnsi="Arial" w:cs="Arial"/>
          <w:spacing w:val="-2"/>
        </w:rPr>
      </w:pPr>
      <w:r>
        <w:rPr>
          <w:rFonts w:ascii="Arial" w:hAnsi="Arial" w:cs="Arial"/>
          <w:spacing w:val="-2"/>
        </w:rPr>
        <w:t xml:space="preserve">L’art. 14 del Decreto in esame, modificando l’art. 9, D.Lgs. n. 13/2024, introduce delle </w:t>
      </w:r>
      <w:r>
        <w:rPr>
          <w:rFonts w:ascii="Arial" w:hAnsi="Arial" w:cs="Arial"/>
          <w:b/>
          <w:bCs/>
          <w:spacing w:val="-2"/>
        </w:rPr>
        <w:t>soglie massime alla proposta</w:t>
      </w:r>
      <w:r>
        <w:rPr>
          <w:rFonts w:ascii="Arial" w:hAnsi="Arial" w:cs="Arial"/>
          <w:spacing w:val="-2"/>
        </w:rPr>
        <w:t xml:space="preserve"> di concordato ai fini delle imposte sui redditi / IRAP, calcolate in percentuale rispetto al reddito del periodo precedente (2024) al biennio cui si riferisce la proposta in misura inversamente proporzionale al </w:t>
      </w:r>
      <w:r>
        <w:rPr>
          <w:rFonts w:ascii="Arial" w:hAnsi="Arial" w:cs="Arial"/>
          <w:b/>
          <w:bCs/>
          <w:spacing w:val="-2"/>
        </w:rPr>
        <w:t>punteggio</w:t>
      </w:r>
      <w:r>
        <w:rPr>
          <w:rFonts w:ascii="Arial" w:hAnsi="Arial" w:cs="Arial"/>
          <w:spacing w:val="-2"/>
        </w:rPr>
        <w:t xml:space="preserve"> </w:t>
      </w:r>
      <w:r>
        <w:rPr>
          <w:rFonts w:ascii="Arial" w:hAnsi="Arial" w:cs="Arial"/>
          <w:b/>
          <w:bCs/>
          <w:spacing w:val="-2"/>
        </w:rPr>
        <w:t>ISA</w:t>
      </w:r>
      <w:r>
        <w:rPr>
          <w:rFonts w:ascii="Arial" w:hAnsi="Arial" w:cs="Arial"/>
          <w:spacing w:val="-2"/>
        </w:rPr>
        <w:t xml:space="preserve"> conseguito. </w:t>
      </w:r>
    </w:p>
    <w:p>
      <w:pPr>
        <w:pStyle w:val="Corpotesto"/>
        <w:spacing w:line="240" w:lineRule="auto"/>
        <w:jc w:val="both"/>
        <w:rPr>
          <w:rFonts w:ascii="Arial" w:hAnsi="Arial" w:cs="Arial"/>
          <w:spacing w:val="-2"/>
        </w:rPr>
      </w:pPr>
      <w:r>
        <w:rPr>
          <w:rFonts w:ascii="Arial" w:hAnsi="Arial" w:cs="Arial"/>
          <w:spacing w:val="-2"/>
        </w:rPr>
        <w:t>In particolare, la proposta di reddito / VAP concordato</w:t>
      </w:r>
      <w:r>
        <w:rPr>
          <w:rFonts w:ascii="Arial" w:hAnsi="Arial" w:cs="Arial"/>
          <w:b/>
          <w:bCs/>
          <w:spacing w:val="-2"/>
        </w:rPr>
        <w:t xml:space="preserve"> non può eccedere</w:t>
      </w:r>
      <w:r>
        <w:rPr>
          <w:rFonts w:ascii="Arial" w:hAnsi="Arial" w:cs="Arial"/>
          <w:spacing w:val="-2"/>
        </w:rPr>
        <w:t xml:space="preserve"> </w:t>
      </w:r>
      <w:r>
        <w:rPr>
          <w:rFonts w:ascii="Arial" w:hAnsi="Arial" w:cs="Arial"/>
          <w:b/>
          <w:bCs/>
          <w:spacing w:val="-2"/>
        </w:rPr>
        <w:t>il reddito dichiarato nel 2024</w:t>
      </w:r>
      <w:r>
        <w:rPr>
          <w:rFonts w:ascii="Arial" w:hAnsi="Arial" w:cs="Arial"/>
          <w:spacing w:val="-2"/>
        </w:rPr>
        <w:t>, rettificato ai sensi dei citati artt. 15 e 16, nella seguente misura.</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1"/>
        <w:gridCol w:w="6157"/>
      </w:tblGrid>
      <w:tr>
        <w:tc>
          <w:tcPr>
            <w:tcW w:w="3511" w:type="dxa"/>
            <w:tcBorders>
              <w:top w:val="single" w:sz="4" w:space="0" w:color="auto"/>
              <w:left w:val="single" w:sz="4" w:space="0" w:color="auto"/>
              <w:bottom w:val="single" w:sz="4" w:space="0" w:color="auto"/>
              <w:right w:val="single" w:sz="4" w:space="0" w:color="auto"/>
            </w:tcBorders>
            <w:shd w:val="clear" w:color="auto" w:fill="EDF7F9"/>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b/>
                <w:bCs/>
                <w:spacing w:val="-2"/>
              </w:rPr>
              <w:t>Soglia massima incremento</w:t>
            </w:r>
          </w:p>
        </w:tc>
        <w:tc>
          <w:tcPr>
            <w:tcW w:w="6157" w:type="dxa"/>
            <w:tcBorders>
              <w:top w:val="single" w:sz="4" w:space="0" w:color="auto"/>
              <w:left w:val="single" w:sz="4" w:space="0" w:color="auto"/>
              <w:bottom w:val="single" w:sz="4" w:space="0" w:color="auto"/>
              <w:right w:val="single" w:sz="4" w:space="0" w:color="auto"/>
            </w:tcBorders>
            <w:shd w:val="clear" w:color="auto" w:fill="EDF7F9"/>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b/>
                <w:bCs/>
                <w:spacing w:val="-2"/>
              </w:rPr>
              <w:t>Punteggio ISA 2024 (mod. ISA 2025)</w:t>
            </w:r>
          </w:p>
        </w:tc>
      </w:tr>
      <w:tr>
        <w:tc>
          <w:tcPr>
            <w:tcW w:w="3511"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10%</w:t>
            </w:r>
          </w:p>
        </w:tc>
        <w:tc>
          <w:tcPr>
            <w:tcW w:w="6157"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pari a 10</w:t>
            </w:r>
          </w:p>
        </w:tc>
      </w:tr>
      <w:tr>
        <w:tc>
          <w:tcPr>
            <w:tcW w:w="3511"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15%</w:t>
            </w:r>
          </w:p>
        </w:tc>
        <w:tc>
          <w:tcPr>
            <w:tcW w:w="6157"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pari o superiore a 9 ma inferiore a 10</w:t>
            </w:r>
          </w:p>
        </w:tc>
      </w:tr>
      <w:tr>
        <w:tc>
          <w:tcPr>
            <w:tcW w:w="3511"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25%</w:t>
            </w:r>
          </w:p>
        </w:tc>
        <w:tc>
          <w:tcPr>
            <w:tcW w:w="6157" w:type="dxa"/>
            <w:tcBorders>
              <w:top w:val="single" w:sz="4" w:space="0" w:color="auto"/>
              <w:left w:val="single" w:sz="4" w:space="0" w:color="auto"/>
              <w:bottom w:val="single" w:sz="4" w:space="0" w:color="auto"/>
              <w:right w:val="single" w:sz="4" w:space="0" w:color="auto"/>
            </w:tcBorders>
            <w:hideMark/>
          </w:tcPr>
          <w:p>
            <w:pPr>
              <w:pStyle w:val="Corpotesto"/>
              <w:spacing w:before="40" w:after="40" w:line="240" w:lineRule="auto"/>
              <w:jc w:val="center"/>
              <w:rPr>
                <w:rFonts w:ascii="Arial" w:eastAsia="Times New Roman" w:hAnsi="Arial" w:cs="Arial"/>
                <w:spacing w:val="-2"/>
              </w:rPr>
            </w:pPr>
            <w:r>
              <w:rPr>
                <w:rFonts w:ascii="Arial" w:eastAsia="Times New Roman" w:hAnsi="Arial" w:cs="Arial"/>
                <w:spacing w:val="-2"/>
              </w:rPr>
              <w:t>pari o superiore a 8 ma inferiore a 9</w:t>
            </w:r>
          </w:p>
        </w:tc>
      </w:tr>
    </w:tbl>
    <w:p>
      <w:pPr>
        <w:spacing w:before="40" w:after="120" w:line="240" w:lineRule="auto"/>
        <w:jc w:val="both"/>
        <w:rPr>
          <w:rFonts w:ascii="Arial" w:eastAsia="Times New Roman" w:hAnsi="Arial" w:cs="Arial"/>
          <w:color w:val="000000"/>
          <w:sz w:val="2"/>
          <w:szCs w:val="2"/>
        </w:rPr>
      </w:pPr>
    </w:p>
    <w:tbl>
      <w:tblPr>
        <w:tblW w:w="0" w:type="auto"/>
        <w:tblLayout w:type="fixed"/>
        <w:tblCellMar>
          <w:left w:w="0" w:type="dxa"/>
          <w:right w:w="0" w:type="dxa"/>
        </w:tblCellMar>
        <w:tblLook w:val="04A0" w:firstRow="1" w:lastRow="0" w:firstColumn="1" w:lastColumn="0" w:noHBand="0" w:noVBand="1"/>
      </w:tblPr>
      <w:tblGrid>
        <w:gridCol w:w="680"/>
        <w:gridCol w:w="8958"/>
      </w:tblGrid>
      <w:tr>
        <w:trPr>
          <w:trHeight w:val="50"/>
        </w:trPr>
        <w:tc>
          <w:tcPr>
            <w:tcW w:w="680" w:type="dxa"/>
            <w:hideMark/>
          </w:tcPr>
          <w:p>
            <w:pPr>
              <w:pStyle w:val="Nessunostileparagrafo"/>
              <w:spacing w:before="20" w:line="240" w:lineRule="auto"/>
              <w:jc w:val="both"/>
              <w:rPr>
                <w:rFonts w:ascii="Arial" w:hAnsi="Arial" w:cs="Arial"/>
                <w:sz w:val="22"/>
                <w:szCs w:val="22"/>
              </w:rPr>
            </w:pPr>
            <w:r>
              <w:rPr>
                <w:rFonts w:ascii="Arial" w:hAnsi="Arial" w:cs="Arial"/>
                <w:noProof/>
                <w:sz w:val="22"/>
                <w:szCs w:val="22"/>
              </w:rPr>
              <w:drawing>
                <wp:inline distT="0" distB="0" distL="0" distR="0">
                  <wp:extent cx="307340" cy="351155"/>
                  <wp:effectExtent l="0" t="0" r="0" b="0"/>
                  <wp:docPr id="5" name="Immagine 5" descr="Simbolo_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mbolo_N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340" cy="351155"/>
                          </a:xfrm>
                          <a:prstGeom prst="rect">
                            <a:avLst/>
                          </a:prstGeom>
                          <a:noFill/>
                          <a:ln>
                            <a:noFill/>
                          </a:ln>
                        </pic:spPr>
                      </pic:pic>
                    </a:graphicData>
                  </a:graphic>
                </wp:inline>
              </w:drawing>
            </w:r>
          </w:p>
        </w:tc>
        <w:tc>
          <w:tcPr>
            <w:tcW w:w="8958" w:type="dxa"/>
            <w:vAlign w:val="center"/>
            <w:hideMark/>
          </w:tcPr>
          <w:p>
            <w:pPr>
              <w:pStyle w:val="Corpotesto"/>
              <w:spacing w:before="20" w:after="20" w:line="240" w:lineRule="auto"/>
              <w:jc w:val="both"/>
              <w:rPr>
                <w:rFonts w:ascii="Arial" w:hAnsi="Arial" w:cs="Arial"/>
                <w:spacing w:val="-2"/>
              </w:rPr>
            </w:pPr>
            <w:r>
              <w:rPr>
                <w:rFonts w:ascii="Arial" w:hAnsi="Arial" w:cs="Arial"/>
                <w:spacing w:val="-2"/>
              </w:rPr>
              <w:t>Le soglie non operano / non trovano applicazione:</w:t>
            </w:r>
          </w:p>
          <w:p>
            <w:pPr>
              <w:numPr>
                <w:ilvl w:val="0"/>
                <w:numId w:val="40"/>
              </w:numPr>
              <w:suppressAutoHyphens/>
              <w:autoSpaceDE w:val="0"/>
              <w:autoSpaceDN w:val="0"/>
              <w:adjustRightInd w:val="0"/>
              <w:spacing w:before="60" w:after="20" w:line="240" w:lineRule="auto"/>
              <w:ind w:left="244" w:hanging="244"/>
              <w:jc w:val="both"/>
              <w:rPr>
                <w:rFonts w:ascii="Arial" w:hAnsi="Arial" w:cs="Arial"/>
                <w:spacing w:val="-2"/>
              </w:rPr>
            </w:pPr>
            <w:r>
              <w:rPr>
                <w:rFonts w:ascii="Arial" w:hAnsi="Arial" w:cs="Arial"/>
                <w:bCs/>
                <w:spacing w:val="-2"/>
              </w:rPr>
              <w:t>nei</w:t>
            </w:r>
            <w:r>
              <w:rPr>
                <w:rFonts w:ascii="Arial" w:hAnsi="Arial" w:cs="Arial"/>
                <w:spacing w:val="-2"/>
              </w:rPr>
              <w:t xml:space="preserve"> confronti di soggetti con un punteggio ISA</w:t>
            </w:r>
            <w:r>
              <w:rPr>
                <w:rFonts w:ascii="Arial" w:hAnsi="Arial" w:cs="Arial"/>
                <w:b/>
                <w:bCs/>
                <w:spacing w:val="-2"/>
              </w:rPr>
              <w:t xml:space="preserve"> inferiore a 8</w:t>
            </w:r>
            <w:r>
              <w:rPr>
                <w:rFonts w:ascii="Arial" w:hAnsi="Arial" w:cs="Arial"/>
                <w:spacing w:val="-2"/>
              </w:rPr>
              <w:t>;</w:t>
            </w:r>
          </w:p>
          <w:p>
            <w:pPr>
              <w:numPr>
                <w:ilvl w:val="0"/>
                <w:numId w:val="40"/>
              </w:numPr>
              <w:suppressAutoHyphens/>
              <w:autoSpaceDE w:val="0"/>
              <w:autoSpaceDN w:val="0"/>
              <w:adjustRightInd w:val="0"/>
              <w:spacing w:before="40" w:after="60" w:line="240" w:lineRule="auto"/>
              <w:ind w:left="244" w:hanging="244"/>
              <w:jc w:val="both"/>
              <w:rPr>
                <w:rFonts w:ascii="Arial" w:hAnsi="Arial" w:cs="Arial"/>
                <w:color w:val="000000"/>
                <w:spacing w:val="-2"/>
              </w:rPr>
            </w:pPr>
            <w:r>
              <w:rPr>
                <w:rFonts w:ascii="Arial" w:hAnsi="Arial" w:cs="Arial"/>
                <w:spacing w:val="-2"/>
              </w:rPr>
              <w:t>se la proposta di concordato elaborata dal software “Il tuo ISA” 2025 CPB è</w:t>
            </w:r>
            <w:r>
              <w:rPr>
                <w:rFonts w:ascii="Arial" w:hAnsi="Arial" w:cs="Arial"/>
                <w:b/>
                <w:bCs/>
                <w:spacing w:val="-2"/>
              </w:rPr>
              <w:t xml:space="preserve"> inferiore “</w:t>
            </w:r>
            <w:r>
              <w:rPr>
                <w:rFonts w:ascii="Arial" w:hAnsi="Arial" w:cs="Arial"/>
                <w:b/>
                <w:bCs/>
                <w:i/>
                <w:iCs/>
                <w:spacing w:val="-2"/>
              </w:rPr>
              <w:t>ai valori di riferimento settoriali</w:t>
            </w:r>
            <w:r>
              <w:rPr>
                <w:rFonts w:ascii="Arial" w:hAnsi="Arial" w:cs="Arial"/>
                <w:b/>
                <w:bCs/>
                <w:spacing w:val="-2"/>
              </w:rPr>
              <w:t>”</w:t>
            </w:r>
            <w:r>
              <w:rPr>
                <w:rFonts w:ascii="Arial" w:hAnsi="Arial" w:cs="Arial"/>
                <w:spacing w:val="-2"/>
              </w:rPr>
              <w:t>. È pertanto possibile che, in alcuni casi, la soglia massima di incremento non venga applicata ancorchè il punteggio ISA sia superiore a 8.</w:t>
            </w:r>
          </w:p>
        </w:tc>
      </w:tr>
    </w:tbl>
    <w:p>
      <w:pPr>
        <w:pStyle w:val="TITOLOMANFREDI"/>
        <w:rPr>
          <w:rFonts w:ascii="Arial Grassetto" w:hAnsi="Arial Grassetto"/>
          <w:caps/>
        </w:rPr>
      </w:pPr>
      <w:r>
        <w:rPr>
          <w:rFonts w:ascii="Arial Grassetto" w:hAnsi="Arial Grassetto"/>
          <w:caps/>
        </w:rPr>
        <w:t xml:space="preserve">MODIFICA cause di decadenza </w:t>
      </w:r>
    </w:p>
    <w:p>
      <w:pPr>
        <w:pStyle w:val="Corpotesto"/>
        <w:spacing w:after="60" w:line="240" w:lineRule="auto"/>
        <w:jc w:val="both"/>
        <w:rPr>
          <w:rFonts w:ascii="Arial" w:hAnsi="Arial" w:cs="Arial"/>
          <w:spacing w:val="-2"/>
        </w:rPr>
      </w:pPr>
      <w:r>
        <w:rPr>
          <w:rFonts w:ascii="Arial" w:hAnsi="Arial" w:cs="Arial"/>
          <w:spacing w:val="-2"/>
        </w:rPr>
        <w:t xml:space="preserve">Come previsto dall’art. 22, D.Lgs. n. 13/2024 il concordato cessa di produrre effetto per entrambi i periodi d’imposta (2025-2026) nei casi in cui si verifica una delle seguenti cause di </w:t>
      </w:r>
      <w:r>
        <w:rPr>
          <w:rFonts w:ascii="Arial" w:hAnsi="Arial" w:cs="Arial"/>
          <w:b/>
          <w:bCs/>
          <w:spacing w:val="-2"/>
        </w:rPr>
        <w:t>decadenza</w:t>
      </w:r>
      <w:r>
        <w:rPr>
          <w:rFonts w:ascii="Arial" w:hAnsi="Arial" w:cs="Arial"/>
          <w:spacing w:val="-2"/>
        </w:rPr>
        <w:t>:</w:t>
      </w:r>
    </w:p>
    <w:p>
      <w:pPr>
        <w:numPr>
          <w:ilvl w:val="0"/>
          <w:numId w:val="40"/>
        </w:numPr>
        <w:suppressAutoHyphens/>
        <w:autoSpaceDE w:val="0"/>
        <w:autoSpaceDN w:val="0"/>
        <w:adjustRightInd w:val="0"/>
        <w:spacing w:before="20" w:after="20" w:line="240" w:lineRule="auto"/>
        <w:ind w:left="244" w:hanging="244"/>
        <w:jc w:val="both"/>
        <w:rPr>
          <w:rFonts w:ascii="Arial" w:hAnsi="Arial" w:cs="Arial"/>
          <w:spacing w:val="-2"/>
        </w:rPr>
      </w:pPr>
      <w:r>
        <w:rPr>
          <w:rFonts w:ascii="Arial" w:hAnsi="Arial" w:cs="Arial"/>
          <w:spacing w:val="-2"/>
        </w:rPr>
        <w:lastRenderedPageBreak/>
        <w:t>a seguito di accertamento, nei periodi di imposta oggetto del concordato o in quello precedente, risulta l’esistenza di attività non dichiarate o l’inesistenza o l’indeducibilità di passività dichiarate, per un importo superiore al 30% dei ricavi dichiarati, ovvero risultano commesse altre violazioni di non lieve entità (lett. a);</w:t>
      </w:r>
    </w:p>
    <w:p>
      <w:pPr>
        <w:numPr>
          <w:ilvl w:val="0"/>
          <w:numId w:val="40"/>
        </w:numPr>
        <w:suppressAutoHyphens/>
        <w:autoSpaceDE w:val="0"/>
        <w:autoSpaceDN w:val="0"/>
        <w:adjustRightInd w:val="0"/>
        <w:spacing w:before="60" w:after="20" w:line="240" w:lineRule="auto"/>
        <w:ind w:left="244" w:hanging="244"/>
        <w:jc w:val="both"/>
        <w:rPr>
          <w:rFonts w:ascii="Arial" w:hAnsi="Arial" w:cs="Arial"/>
          <w:spacing w:val="-2"/>
        </w:rPr>
      </w:pPr>
      <w:r>
        <w:rPr>
          <w:rFonts w:ascii="Arial" w:hAnsi="Arial" w:cs="Arial"/>
          <w:spacing w:val="-2"/>
        </w:rPr>
        <w:t>a seguito di modifica / integrazione della dichiarazione dei redditi ex art. 2, comma 8, DPR n. 322/98, i dati e le informazioni dichiarate dal contribuente determinano una quantificazione diversa dei redditi o del valore della produzione netta rispetto a quelli in base ai quali è avvenuta l’accettazione della proposta di concordato (lett. b);</w:t>
      </w:r>
    </w:p>
    <w:p>
      <w:pPr>
        <w:numPr>
          <w:ilvl w:val="0"/>
          <w:numId w:val="40"/>
        </w:numPr>
        <w:suppressAutoHyphens/>
        <w:autoSpaceDE w:val="0"/>
        <w:autoSpaceDN w:val="0"/>
        <w:adjustRightInd w:val="0"/>
        <w:spacing w:before="60" w:after="20" w:line="240" w:lineRule="auto"/>
        <w:ind w:left="244" w:hanging="244"/>
        <w:jc w:val="both"/>
        <w:rPr>
          <w:rFonts w:ascii="Arial" w:hAnsi="Arial" w:cs="Arial"/>
          <w:spacing w:val="-2"/>
        </w:rPr>
      </w:pPr>
      <w:r>
        <w:rPr>
          <w:rFonts w:ascii="Arial" w:hAnsi="Arial" w:cs="Arial"/>
          <w:spacing w:val="-2"/>
        </w:rPr>
        <w:t>sono indicati, nel mod. REDDITI, dati non corrispondenti a quelli comunicati ai fini della definizione della proposta di concordato (lett. c);</w:t>
      </w:r>
    </w:p>
    <w:p>
      <w:pPr>
        <w:numPr>
          <w:ilvl w:val="0"/>
          <w:numId w:val="40"/>
        </w:numPr>
        <w:suppressAutoHyphens/>
        <w:autoSpaceDE w:val="0"/>
        <w:autoSpaceDN w:val="0"/>
        <w:adjustRightInd w:val="0"/>
        <w:spacing w:before="60" w:after="20" w:line="240" w:lineRule="auto"/>
        <w:ind w:left="244" w:hanging="244"/>
        <w:jc w:val="both"/>
        <w:rPr>
          <w:rFonts w:ascii="Arial" w:hAnsi="Arial" w:cs="Arial"/>
          <w:spacing w:val="-2"/>
        </w:rPr>
      </w:pPr>
      <w:r>
        <w:rPr>
          <w:rFonts w:ascii="Arial" w:hAnsi="Arial" w:cs="Arial"/>
          <w:spacing w:val="-2"/>
        </w:rPr>
        <w:t>ricorre una delle ipotesi di cui all’art. 11, D.Lgs. n. 13/2024 ovvero vengono meno i requisiti di cui all’art. 10, comma 2 (non avere debiti tributari / aver estinto debiti tributari / contributivi di importo complessivamente pari o superiori a € 5.000, compresi interessi e sanzioni - lett. d);</w:t>
      </w:r>
    </w:p>
    <w:p>
      <w:pPr>
        <w:numPr>
          <w:ilvl w:val="0"/>
          <w:numId w:val="40"/>
        </w:numPr>
        <w:suppressAutoHyphens/>
        <w:autoSpaceDE w:val="0"/>
        <w:autoSpaceDN w:val="0"/>
        <w:adjustRightInd w:val="0"/>
        <w:spacing w:before="60" w:after="0" w:line="240" w:lineRule="auto"/>
        <w:ind w:left="244" w:hanging="244"/>
        <w:jc w:val="both"/>
        <w:rPr>
          <w:rFonts w:ascii="Arial" w:hAnsi="Arial" w:cs="Arial"/>
          <w:spacing w:val="-2"/>
        </w:rPr>
      </w:pPr>
      <w:r>
        <w:rPr>
          <w:rFonts w:ascii="Arial" w:hAnsi="Arial" w:cs="Arial"/>
          <w:b/>
          <w:spacing w:val="-2"/>
        </w:rPr>
        <w:t>omesso</w:t>
      </w:r>
      <w:r>
        <w:rPr>
          <w:rFonts w:ascii="Arial" w:hAnsi="Arial" w:cs="Arial"/>
          <w:b/>
          <w:bCs/>
          <w:spacing w:val="-2"/>
        </w:rPr>
        <w:t xml:space="preserve"> versamento delle somme dovute</w:t>
      </w:r>
      <w:r>
        <w:rPr>
          <w:rFonts w:ascii="Arial" w:hAnsi="Arial" w:cs="Arial"/>
          <w:spacing w:val="-2"/>
        </w:rPr>
        <w:t xml:space="preserve"> a seguito del controllo ex art. 36-bis, DPR n. 600/73 relativo agli anni oggetto di concordato di cui all’art. 12, comma 2, D.Lgs. n. 13/2024 (</w:t>
      </w:r>
      <w:r>
        <w:rPr>
          <w:rFonts w:ascii="Arial" w:hAnsi="Arial" w:cs="Arial"/>
          <w:b/>
          <w:bCs/>
          <w:spacing w:val="-2"/>
        </w:rPr>
        <w:t>lett. e</w:t>
      </w:r>
      <w:r>
        <w:rPr>
          <w:rFonts w:ascii="Arial" w:hAnsi="Arial" w:cs="Arial"/>
          <w:spacing w:val="-2"/>
        </w:rPr>
        <w:t>).</w:t>
      </w:r>
    </w:p>
    <w:p>
      <w:pPr>
        <w:pStyle w:val="Corpotesto"/>
        <w:spacing w:before="60" w:after="60" w:line="240" w:lineRule="auto"/>
        <w:jc w:val="both"/>
        <w:rPr>
          <w:rFonts w:ascii="Arial" w:hAnsi="Arial" w:cs="Arial"/>
          <w:spacing w:val="-2"/>
        </w:rPr>
      </w:pPr>
      <w:r>
        <w:rPr>
          <w:rFonts w:ascii="Arial" w:hAnsi="Arial" w:cs="Arial"/>
          <w:spacing w:val="-2"/>
        </w:rPr>
        <w:t>La lett. a) del comma 1 dell’art. 15 del Decreto in esame, modificando la citata</w:t>
      </w:r>
      <w:r>
        <w:rPr>
          <w:rFonts w:ascii="Arial" w:hAnsi="Arial" w:cs="Arial"/>
          <w:b/>
          <w:bCs/>
          <w:spacing w:val="-2"/>
        </w:rPr>
        <w:t xml:space="preserve"> lett. e)</w:t>
      </w:r>
      <w:r>
        <w:rPr>
          <w:rFonts w:ascii="Arial" w:hAnsi="Arial" w:cs="Arial"/>
          <w:spacing w:val="-2"/>
        </w:rPr>
        <w:t xml:space="preserve">, prevede che si verifichi la decadenza dal concordato soltanto </w:t>
      </w:r>
      <w:r>
        <w:rPr>
          <w:rFonts w:ascii="Arial" w:hAnsi="Arial" w:cs="Arial"/>
          <w:b/>
          <w:bCs/>
          <w:spacing w:val="-2"/>
        </w:rPr>
        <w:t>qualora entro 60 giorni dal ricevimento dell’avviso bonario non sia avvenuto il pagamento di tali somme</w:t>
      </w:r>
      <w:r>
        <w:rPr>
          <w:rFonts w:ascii="Arial" w:hAnsi="Arial" w:cs="Arial"/>
          <w:spacing w:val="-2"/>
        </w:rPr>
        <w:t>.</w:t>
      </w:r>
    </w:p>
    <w:p>
      <w:pPr>
        <w:pStyle w:val="Corpotesto"/>
        <w:spacing w:before="60" w:after="0" w:line="240" w:lineRule="auto"/>
        <w:jc w:val="both"/>
        <w:rPr>
          <w:rFonts w:ascii="Arial" w:hAnsi="Arial" w:cs="Arial"/>
          <w:spacing w:val="-2"/>
        </w:rPr>
      </w:pPr>
      <w:r>
        <w:rPr>
          <w:rFonts w:ascii="Arial" w:hAnsi="Arial" w:cs="Arial"/>
          <w:spacing w:val="-2"/>
        </w:rPr>
        <w:t>Contestualmente è stata abrogata la disposizione che prevedeva che le violazioni di cui alla citata lett. e) non rilevavano ai fini della decadenza nel caso in cui il contribuente abbia regolarizzato la propria posizione mediante ravvedimento ex art. 13, D.Lgs. n. 472/97.</w:t>
      </w:r>
    </w:p>
    <w:p>
      <w:pPr>
        <w:pStyle w:val="Corpotesto"/>
        <w:spacing w:after="0" w:line="240" w:lineRule="auto"/>
        <w:jc w:val="both"/>
        <w:rPr>
          <w:rFonts w:ascii="Arial" w:hAnsi="Arial" w:cs="Arial"/>
          <w:spacing w:val="-2"/>
        </w:rPr>
      </w:pPr>
    </w:p>
    <w:p>
      <w:pPr>
        <w:pStyle w:val="Corpotesto"/>
        <w:spacing w:after="0" w:line="240" w:lineRule="auto"/>
        <w:jc w:val="both"/>
        <w:rPr>
          <w:rFonts w:ascii="Arial" w:hAnsi="Arial" w:cs="Arial"/>
          <w:spacing w:val="-2"/>
        </w:rPr>
      </w:pPr>
    </w:p>
    <w:p>
      <w:pPr>
        <w:pStyle w:val="Corpotesto"/>
        <w:spacing w:after="0" w:line="240" w:lineRule="auto"/>
        <w:jc w:val="both"/>
        <w:rPr>
          <w:rFonts w:ascii="Arial" w:hAnsi="Arial" w:cs="Arial"/>
          <w:spacing w:val="-2"/>
        </w:rPr>
      </w:pPr>
    </w:p>
    <w:p>
      <w:pPr>
        <w:pStyle w:val="Corpotesto"/>
        <w:spacing w:after="0" w:line="240" w:lineRule="auto"/>
        <w:jc w:val="both"/>
        <w:rPr>
          <w:rFonts w:ascii="Arial" w:hAnsi="Arial" w:cs="Arial"/>
          <w:spacing w:val="-2"/>
        </w:rPr>
      </w:pPr>
    </w:p>
    <w:p>
      <w:pPr>
        <w:pStyle w:val="Corpotesto"/>
        <w:spacing w:after="0" w:line="240" w:lineRule="auto"/>
        <w:jc w:val="both"/>
        <w:rPr>
          <w:rFonts w:ascii="Arial" w:hAnsi="Arial" w:cs="Arial"/>
          <w:spacing w:val="-2"/>
        </w:rPr>
      </w:pPr>
    </w:p>
    <w:p>
      <w:bookmarkStart w:id="0" w:name="_GoBack"/>
      <w:bookmarkEnd w:id="0"/>
    </w:p>
    <w:sectPr>
      <w:headerReference w:type="default" r:id="rId10"/>
      <w:footerReference w:type="default" r:id="rId11"/>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ras Medium ITC">
    <w:panose1 w:val="020B06020305040208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ole_text">
    <w:altName w:val="Calibri"/>
    <w:charset w:val="00"/>
    <w:family w:val="auto"/>
    <w:pitch w:val="default"/>
  </w:font>
  <w:font w:name="ZapfDingbats BT">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yriad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ZapfDingbatsITCbyBT-Regular">
    <w:altName w:val="Wingdings"/>
    <w:panose1 w:val="00000000000000000000"/>
    <w:charset w:val="02"/>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Grassetto">
    <w:panose1 w:val="00000000000000000000"/>
    <w:charset w:val="00"/>
    <w:family w:val="roman"/>
    <w:notTrueType/>
    <w:pitch w:val="default"/>
  </w:font>
  <w:font w:name="Kunstler Script">
    <w:panose1 w:val="030304020206070D0D06"/>
    <w:charset w:val="00"/>
    <w:family w:val="script"/>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idipagina"/>
      <w:jc w:val="right"/>
      <w:rPr>
        <w:rFonts w:cstheme="minorHAnsi"/>
        <w:b/>
        <w:bCs/>
        <w:sz w:val="18"/>
        <w:szCs w:val="18"/>
      </w:rPr>
    </w:pPr>
    <w:r>
      <w:rPr>
        <w:rFonts w:cstheme="minorHAnsi"/>
        <w:b/>
        <w:bCs/>
        <w:sz w:val="18"/>
        <w:szCs w:val="18"/>
      </w:rPr>
      <w:t>INFORMATIVA FISCALE</w:t>
    </w:r>
    <w:r>
      <w:rPr>
        <w:rFonts w:cstheme="minorHAnsi"/>
        <w:b/>
        <w:bCs/>
        <w:sz w:val="18"/>
        <w:szCs w:val="18"/>
      </w:rPr>
      <w:tab/>
    </w:r>
    <w:r>
      <w:rPr>
        <w:rFonts w:eastAsia="Times New Roman" w:cstheme="minorHAnsi"/>
        <w:b/>
        <w:bCs/>
        <w:i/>
        <w:sz w:val="18"/>
        <w:szCs w:val="18"/>
        <w:lang w:eastAsia="it-IT"/>
      </w:rPr>
      <w:t>Studio Barozzi Commercialisti</w:t>
    </w:r>
    <w:r>
      <w:rPr>
        <w:rFonts w:cstheme="minorHAnsi"/>
        <w:b/>
        <w:bCs/>
        <w:i/>
        <w:sz w:val="18"/>
        <w:szCs w:val="18"/>
      </w:rPr>
      <w:t xml:space="preserve"> s.s.</w:t>
    </w:r>
    <w:r>
      <w:rPr>
        <w:rFonts w:cstheme="minorHAnsi"/>
        <w:b/>
        <w:bCs/>
        <w:sz w:val="18"/>
        <w:szCs w:val="18"/>
      </w:rPr>
      <w:tab/>
      <w:t>GIUGNO 2025 pag.</w:t>
    </w:r>
    <w:r>
      <w:t xml:space="preserve"> </w:t>
    </w:r>
    <w:sdt>
      <w:sdtPr>
        <w:id w:val="-1560165169"/>
        <w:docPartObj>
          <w:docPartGallery w:val="Page Numbers (Bottom of Page)"/>
          <w:docPartUnique/>
        </w:docPartObj>
      </w:sdtPr>
      <w:sdtEndPr>
        <w:rPr>
          <w:rFonts w:cstheme="minorHAnsi"/>
          <w:b/>
          <w:bCs/>
          <w:sz w:val="18"/>
          <w:szCs w:val="18"/>
        </w:rPr>
      </w:sdtEndPr>
      <w:sdtContent>
        <w:r>
          <w:rPr>
            <w:rFonts w:cstheme="minorHAnsi"/>
            <w:b/>
            <w:bCs/>
            <w:sz w:val="18"/>
            <w:szCs w:val="18"/>
          </w:rPr>
          <w:fldChar w:fldCharType="begin"/>
        </w:r>
        <w:r>
          <w:rPr>
            <w:rFonts w:cstheme="minorHAnsi"/>
            <w:b/>
            <w:bCs/>
            <w:sz w:val="18"/>
            <w:szCs w:val="18"/>
          </w:rPr>
          <w:instrText>PAGE   \* MERGEFORMAT</w:instrText>
        </w:r>
        <w:r>
          <w:rPr>
            <w:rFonts w:cstheme="minorHAnsi"/>
            <w:b/>
            <w:bCs/>
            <w:sz w:val="18"/>
            <w:szCs w:val="18"/>
          </w:rPr>
          <w:fldChar w:fldCharType="separate"/>
        </w:r>
        <w:r>
          <w:rPr>
            <w:rFonts w:cstheme="minorHAnsi"/>
            <w:b/>
            <w:bCs/>
            <w:noProof/>
            <w:sz w:val="18"/>
            <w:szCs w:val="18"/>
          </w:rPr>
          <w:t>3</w:t>
        </w:r>
        <w:r>
          <w:rPr>
            <w:rFonts w:cstheme="minorHAnsi"/>
            <w:b/>
            <w:bCs/>
            <w:sz w:val="18"/>
            <w:szCs w:val="18"/>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Intestazione"/>
      <w:rPr>
        <w:rFonts w:ascii="Kunstler Script" w:hAnsi="Kunstler Script"/>
        <w:b/>
        <w:sz w:val="40"/>
        <w:szCs w:val="40"/>
      </w:rPr>
    </w:pPr>
    <w:r>
      <w:rPr>
        <w:rFonts w:ascii="Times New Roman" w:hAnsi="Times New Roman" w:cs="Times New Roman"/>
        <w:noProof/>
        <w:sz w:val="24"/>
        <w:szCs w:val="24"/>
        <w:lang w:eastAsia="it-IT"/>
      </w:rPr>
      <w:drawing>
        <wp:anchor distT="0" distB="0" distL="114300" distR="114300" simplePos="0" relativeHeight="251659264" behindDoc="0" locked="0" layoutInCell="1" allowOverlap="1">
          <wp:simplePos x="0" y="0"/>
          <wp:positionH relativeFrom="margin">
            <wp:posOffset>-342900</wp:posOffset>
          </wp:positionH>
          <wp:positionV relativeFrom="paragraph">
            <wp:posOffset>-271145</wp:posOffset>
          </wp:positionV>
          <wp:extent cx="628650" cy="902335"/>
          <wp:effectExtent l="0" t="0" r="0" b="0"/>
          <wp:wrapNone/>
          <wp:docPr id="2" name="Immagine 2" descr="barozzi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rozzi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0233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r>
      <w:rPr>
        <w:rFonts w:ascii="Kunstler Script" w:hAnsi="Kunstler Script"/>
        <w:b/>
        <w:sz w:val="40"/>
        <w:szCs w:val="40"/>
      </w:rPr>
      <w:t xml:space="preserve">Studio Barozzi Commercialisti </w:t>
    </w:r>
    <w:r>
      <w:rPr>
        <w:rFonts w:ascii="Kunstler Script" w:hAnsi="Kunstler Script"/>
        <w:b/>
        <w:sz w:val="40"/>
        <w:szCs w:val="40"/>
      </w:rPr>
      <w:tab/>
    </w:r>
  </w:p>
  <w:p>
    <w:pPr>
      <w:pStyle w:val="Intestazione"/>
    </w:pPr>
  </w:p>
  <w:p>
    <w:pPr>
      <w:pStyle w:val="Intestazione"/>
    </w:pPr>
  </w:p>
  <w:p>
    <w:pPr>
      <w:pStyle w:val="Intestazione"/>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7956"/>
    <w:multiLevelType w:val="hybridMultilevel"/>
    <w:tmpl w:val="2FE0FFA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nsid w:val="05912ADF"/>
    <w:multiLevelType w:val="hybridMultilevel"/>
    <w:tmpl w:val="B2E6A1C4"/>
    <w:lvl w:ilvl="0" w:tplc="7D0EEB92">
      <w:start w:val="1"/>
      <w:numFmt w:val="bullet"/>
      <w:pStyle w:val="ScadenziarioPuntoni"/>
      <w:lvlText w:val=""/>
      <w:lvlJc w:val="left"/>
      <w:pPr>
        <w:tabs>
          <w:tab w:val="num" w:pos="360"/>
        </w:tabs>
        <w:ind w:left="360" w:hanging="360"/>
      </w:pPr>
      <w:rPr>
        <w:rFonts w:ascii="Symbol" w:hAnsi="Symbol" w:hint="default"/>
        <w:color w:val="auto"/>
      </w:rPr>
    </w:lvl>
    <w:lvl w:ilvl="1" w:tplc="04100003">
      <w:start w:val="1"/>
      <w:numFmt w:val="bullet"/>
      <w:lvlText w:val="o"/>
      <w:lvlJc w:val="left"/>
      <w:pPr>
        <w:tabs>
          <w:tab w:val="num" w:pos="797"/>
        </w:tabs>
        <w:ind w:left="797" w:hanging="360"/>
      </w:pPr>
      <w:rPr>
        <w:rFonts w:ascii="Courier New" w:hAnsi="Courier New" w:cs="Courier New" w:hint="default"/>
      </w:rPr>
    </w:lvl>
    <w:lvl w:ilvl="2" w:tplc="04100005">
      <w:start w:val="1"/>
      <w:numFmt w:val="bullet"/>
      <w:lvlText w:val=""/>
      <w:lvlJc w:val="left"/>
      <w:pPr>
        <w:tabs>
          <w:tab w:val="num" w:pos="1517"/>
        </w:tabs>
        <w:ind w:left="1517" w:hanging="360"/>
      </w:pPr>
      <w:rPr>
        <w:rFonts w:ascii="Wingdings" w:hAnsi="Wingdings" w:hint="default"/>
      </w:rPr>
    </w:lvl>
    <w:lvl w:ilvl="3" w:tplc="04100001">
      <w:start w:val="1"/>
      <w:numFmt w:val="bullet"/>
      <w:lvlText w:val=""/>
      <w:lvlJc w:val="left"/>
      <w:pPr>
        <w:tabs>
          <w:tab w:val="num" w:pos="2237"/>
        </w:tabs>
        <w:ind w:left="2237" w:hanging="360"/>
      </w:pPr>
      <w:rPr>
        <w:rFonts w:ascii="Symbol" w:hAnsi="Symbol" w:hint="default"/>
      </w:rPr>
    </w:lvl>
    <w:lvl w:ilvl="4" w:tplc="04100003">
      <w:start w:val="1"/>
      <w:numFmt w:val="bullet"/>
      <w:lvlText w:val="o"/>
      <w:lvlJc w:val="left"/>
      <w:pPr>
        <w:tabs>
          <w:tab w:val="num" w:pos="2957"/>
        </w:tabs>
        <w:ind w:left="2957" w:hanging="360"/>
      </w:pPr>
      <w:rPr>
        <w:rFonts w:ascii="Courier New" w:hAnsi="Courier New" w:cs="Courier New" w:hint="default"/>
      </w:rPr>
    </w:lvl>
    <w:lvl w:ilvl="5" w:tplc="04100005">
      <w:start w:val="1"/>
      <w:numFmt w:val="bullet"/>
      <w:lvlText w:val=""/>
      <w:lvlJc w:val="left"/>
      <w:pPr>
        <w:tabs>
          <w:tab w:val="num" w:pos="3677"/>
        </w:tabs>
        <w:ind w:left="3677" w:hanging="360"/>
      </w:pPr>
      <w:rPr>
        <w:rFonts w:ascii="Wingdings" w:hAnsi="Wingdings" w:hint="default"/>
      </w:rPr>
    </w:lvl>
    <w:lvl w:ilvl="6" w:tplc="04100001">
      <w:start w:val="1"/>
      <w:numFmt w:val="bullet"/>
      <w:lvlText w:val=""/>
      <w:lvlJc w:val="left"/>
      <w:pPr>
        <w:tabs>
          <w:tab w:val="num" w:pos="4397"/>
        </w:tabs>
        <w:ind w:left="4397" w:hanging="360"/>
      </w:pPr>
      <w:rPr>
        <w:rFonts w:ascii="Symbol" w:hAnsi="Symbol" w:hint="default"/>
      </w:rPr>
    </w:lvl>
    <w:lvl w:ilvl="7" w:tplc="04100003">
      <w:start w:val="1"/>
      <w:numFmt w:val="bullet"/>
      <w:lvlText w:val="o"/>
      <w:lvlJc w:val="left"/>
      <w:pPr>
        <w:tabs>
          <w:tab w:val="num" w:pos="5117"/>
        </w:tabs>
        <w:ind w:left="5117" w:hanging="360"/>
      </w:pPr>
      <w:rPr>
        <w:rFonts w:ascii="Courier New" w:hAnsi="Courier New" w:cs="Courier New" w:hint="default"/>
      </w:rPr>
    </w:lvl>
    <w:lvl w:ilvl="8" w:tplc="04100005">
      <w:start w:val="1"/>
      <w:numFmt w:val="bullet"/>
      <w:lvlText w:val=""/>
      <w:lvlJc w:val="left"/>
      <w:pPr>
        <w:tabs>
          <w:tab w:val="num" w:pos="5837"/>
        </w:tabs>
        <w:ind w:left="5837" w:hanging="360"/>
      </w:pPr>
      <w:rPr>
        <w:rFonts w:ascii="Wingdings" w:hAnsi="Wingdings" w:hint="default"/>
      </w:rPr>
    </w:lvl>
  </w:abstractNum>
  <w:abstractNum w:abstractNumId="2">
    <w:nsid w:val="059D77A2"/>
    <w:multiLevelType w:val="hybridMultilevel"/>
    <w:tmpl w:val="0F2C56A4"/>
    <w:lvl w:ilvl="0" w:tplc="9176FA90">
      <w:numFmt w:val="bullet"/>
      <w:lvlText w:val=""/>
      <w:lvlJc w:val="left"/>
      <w:pPr>
        <w:ind w:left="360" w:hanging="360"/>
      </w:pPr>
      <w:rPr>
        <w:rFonts w:ascii="Symbol" w:eastAsia="Times New Roman" w:hAnsi="Symbol" w:cs="Arial" w:hint="default"/>
        <w:color w:val="000000"/>
        <w:sz w:val="2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0C8B7458"/>
    <w:multiLevelType w:val="hybridMultilevel"/>
    <w:tmpl w:val="3BBC2E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2247D4A"/>
    <w:multiLevelType w:val="hybridMultilevel"/>
    <w:tmpl w:val="A4EEC58A"/>
    <w:lvl w:ilvl="0" w:tplc="289A089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708136A"/>
    <w:multiLevelType w:val="hybridMultilevel"/>
    <w:tmpl w:val="96E41D66"/>
    <w:lvl w:ilvl="0" w:tplc="4A16A1FE">
      <w:start w:val="1"/>
      <w:numFmt w:val="bullet"/>
      <w:lvlText w:val="−"/>
      <w:lvlJc w:val="left"/>
      <w:pPr>
        <w:ind w:left="643" w:hanging="360"/>
      </w:pPr>
      <w:rPr>
        <w:rFonts w:ascii="Calibri" w:hAnsi="Calibri" w:hint="default"/>
      </w:rPr>
    </w:lvl>
    <w:lvl w:ilvl="1" w:tplc="4A16A1FE">
      <w:start w:val="1"/>
      <w:numFmt w:val="bullet"/>
      <w:lvlText w:val="−"/>
      <w:lvlJc w:val="left"/>
      <w:pPr>
        <w:ind w:left="1363" w:hanging="360"/>
      </w:pPr>
      <w:rPr>
        <w:rFonts w:ascii="Calibri" w:hAnsi="Calibri" w:hint="default"/>
      </w:rPr>
    </w:lvl>
    <w:lvl w:ilvl="2" w:tplc="04100005" w:tentative="1">
      <w:start w:val="1"/>
      <w:numFmt w:val="bullet"/>
      <w:lvlText w:val=""/>
      <w:lvlJc w:val="left"/>
      <w:pPr>
        <w:ind w:left="2083" w:hanging="360"/>
      </w:pPr>
      <w:rPr>
        <w:rFonts w:ascii="Wingdings" w:hAnsi="Wingdings" w:hint="default"/>
      </w:rPr>
    </w:lvl>
    <w:lvl w:ilvl="3" w:tplc="04100001" w:tentative="1">
      <w:start w:val="1"/>
      <w:numFmt w:val="bullet"/>
      <w:lvlText w:val=""/>
      <w:lvlJc w:val="left"/>
      <w:pPr>
        <w:ind w:left="2803" w:hanging="360"/>
      </w:pPr>
      <w:rPr>
        <w:rFonts w:ascii="Symbol" w:hAnsi="Symbol" w:hint="default"/>
      </w:rPr>
    </w:lvl>
    <w:lvl w:ilvl="4" w:tplc="04100003" w:tentative="1">
      <w:start w:val="1"/>
      <w:numFmt w:val="bullet"/>
      <w:lvlText w:val="o"/>
      <w:lvlJc w:val="left"/>
      <w:pPr>
        <w:ind w:left="3523" w:hanging="360"/>
      </w:pPr>
      <w:rPr>
        <w:rFonts w:ascii="Courier New" w:hAnsi="Courier New" w:cs="Courier New" w:hint="default"/>
      </w:rPr>
    </w:lvl>
    <w:lvl w:ilvl="5" w:tplc="04100005" w:tentative="1">
      <w:start w:val="1"/>
      <w:numFmt w:val="bullet"/>
      <w:lvlText w:val=""/>
      <w:lvlJc w:val="left"/>
      <w:pPr>
        <w:ind w:left="4243" w:hanging="360"/>
      </w:pPr>
      <w:rPr>
        <w:rFonts w:ascii="Wingdings" w:hAnsi="Wingdings" w:hint="default"/>
      </w:rPr>
    </w:lvl>
    <w:lvl w:ilvl="6" w:tplc="04100001" w:tentative="1">
      <w:start w:val="1"/>
      <w:numFmt w:val="bullet"/>
      <w:lvlText w:val=""/>
      <w:lvlJc w:val="left"/>
      <w:pPr>
        <w:ind w:left="4963" w:hanging="360"/>
      </w:pPr>
      <w:rPr>
        <w:rFonts w:ascii="Symbol" w:hAnsi="Symbol" w:hint="default"/>
      </w:rPr>
    </w:lvl>
    <w:lvl w:ilvl="7" w:tplc="04100003" w:tentative="1">
      <w:start w:val="1"/>
      <w:numFmt w:val="bullet"/>
      <w:lvlText w:val="o"/>
      <w:lvlJc w:val="left"/>
      <w:pPr>
        <w:ind w:left="5683" w:hanging="360"/>
      </w:pPr>
      <w:rPr>
        <w:rFonts w:ascii="Courier New" w:hAnsi="Courier New" w:cs="Courier New" w:hint="default"/>
      </w:rPr>
    </w:lvl>
    <w:lvl w:ilvl="8" w:tplc="04100005" w:tentative="1">
      <w:start w:val="1"/>
      <w:numFmt w:val="bullet"/>
      <w:lvlText w:val=""/>
      <w:lvlJc w:val="left"/>
      <w:pPr>
        <w:ind w:left="6403" w:hanging="360"/>
      </w:pPr>
      <w:rPr>
        <w:rFonts w:ascii="Wingdings" w:hAnsi="Wingdings" w:hint="default"/>
      </w:rPr>
    </w:lvl>
  </w:abstractNum>
  <w:abstractNum w:abstractNumId="6">
    <w:nsid w:val="2CD22BFB"/>
    <w:multiLevelType w:val="hybridMultilevel"/>
    <w:tmpl w:val="106C4B54"/>
    <w:lvl w:ilvl="0" w:tplc="4A16A1F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1C64712"/>
    <w:multiLevelType w:val="hybridMultilevel"/>
    <w:tmpl w:val="6EF07AE8"/>
    <w:lvl w:ilvl="0" w:tplc="4A16A1FE">
      <w:start w:val="1"/>
      <w:numFmt w:val="bullet"/>
      <w:lvlText w:val="−"/>
      <w:lvlJc w:val="left"/>
      <w:pPr>
        <w:ind w:left="360" w:hanging="360"/>
      </w:pPr>
      <w:rPr>
        <w:rFonts w:ascii="Calibri" w:hAnsi="Calibri" w:cs="Times New Roman" w:hint="default"/>
      </w:rPr>
    </w:lvl>
    <w:lvl w:ilvl="1" w:tplc="4A16A1FE">
      <w:start w:val="1"/>
      <w:numFmt w:val="bullet"/>
      <w:lvlText w:val="−"/>
      <w:lvlJc w:val="left"/>
      <w:pPr>
        <w:ind w:left="1080" w:hanging="360"/>
      </w:pPr>
      <w:rPr>
        <w:rFonts w:ascii="Calibri" w:hAnsi="Calibri"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
    <w:nsid w:val="325F3088"/>
    <w:multiLevelType w:val="hybridMultilevel"/>
    <w:tmpl w:val="ADCA950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nsid w:val="35511CD0"/>
    <w:multiLevelType w:val="hybridMultilevel"/>
    <w:tmpl w:val="C8889744"/>
    <w:lvl w:ilvl="0" w:tplc="780828C2">
      <w:numFmt w:val="bullet"/>
      <w:lvlText w:val="-"/>
      <w:lvlJc w:val="left"/>
      <w:pPr>
        <w:ind w:left="1004" w:hanging="360"/>
      </w:pPr>
      <w:rPr>
        <w:rFonts w:ascii="Arial" w:eastAsia="Calibri" w:hAnsi="Arial" w:cs="Arial" w:hint="default"/>
      </w:rPr>
    </w:lvl>
    <w:lvl w:ilvl="1" w:tplc="8C2C06E0">
      <w:numFmt w:val="bullet"/>
      <w:pStyle w:val="Trattino50"/>
      <w:lvlText w:val="-"/>
      <w:lvlJc w:val="left"/>
      <w:pPr>
        <w:ind w:left="1724" w:hanging="360"/>
      </w:pPr>
      <w:rPr>
        <w:rFonts w:ascii="Arial" w:eastAsia="Calibri" w:hAnsi="Arial" w:cs="Arial"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0">
    <w:nsid w:val="3C0C6153"/>
    <w:multiLevelType w:val="singleLevel"/>
    <w:tmpl w:val="85FA26AC"/>
    <w:lvl w:ilvl="0">
      <w:start w:val="1"/>
      <w:numFmt w:val="lowerLetter"/>
      <w:pStyle w:val="Elenco2"/>
      <w:lvlText w:val="%1)"/>
      <w:lvlJc w:val="left"/>
      <w:pPr>
        <w:tabs>
          <w:tab w:val="num" w:pos="360"/>
        </w:tabs>
        <w:ind w:left="360" w:hanging="360"/>
      </w:pPr>
      <w:rPr>
        <w:rFonts w:hint="default"/>
      </w:rPr>
    </w:lvl>
  </w:abstractNum>
  <w:abstractNum w:abstractNumId="11">
    <w:nsid w:val="3E49479C"/>
    <w:multiLevelType w:val="hybridMultilevel"/>
    <w:tmpl w:val="CE9E0E14"/>
    <w:lvl w:ilvl="0" w:tplc="A3649A66">
      <w:start w:val="1"/>
      <w:numFmt w:val="bullet"/>
      <w:pStyle w:val="RIFERIMENTI"/>
      <w:lvlText w:val=""/>
      <w:lvlJc w:val="left"/>
      <w:pPr>
        <w:tabs>
          <w:tab w:val="num" w:pos="644"/>
        </w:tabs>
        <w:ind w:left="567" w:hanging="283"/>
      </w:pPr>
      <w:rPr>
        <w:rFonts w:ascii="Symbol" w:hAnsi="Symbol" w:hint="default"/>
      </w:rPr>
    </w:lvl>
    <w:lvl w:ilvl="1" w:tplc="04100003" w:tentative="1">
      <w:start w:val="1"/>
      <w:numFmt w:val="bullet"/>
      <w:lvlText w:val="o"/>
      <w:lvlJc w:val="left"/>
      <w:pPr>
        <w:tabs>
          <w:tab w:val="num" w:pos="1667"/>
        </w:tabs>
        <w:ind w:left="1667" w:hanging="360"/>
      </w:pPr>
      <w:rPr>
        <w:rFonts w:ascii="Courier New" w:hAnsi="Courier New" w:hint="default"/>
      </w:rPr>
    </w:lvl>
    <w:lvl w:ilvl="2" w:tplc="04100005" w:tentative="1">
      <w:start w:val="1"/>
      <w:numFmt w:val="bullet"/>
      <w:lvlText w:val=""/>
      <w:lvlJc w:val="left"/>
      <w:pPr>
        <w:tabs>
          <w:tab w:val="num" w:pos="2387"/>
        </w:tabs>
        <w:ind w:left="2387" w:hanging="360"/>
      </w:pPr>
      <w:rPr>
        <w:rFonts w:ascii="Wingdings" w:hAnsi="Wingdings" w:hint="default"/>
      </w:rPr>
    </w:lvl>
    <w:lvl w:ilvl="3" w:tplc="04100001" w:tentative="1">
      <w:start w:val="1"/>
      <w:numFmt w:val="bullet"/>
      <w:lvlText w:val=""/>
      <w:lvlJc w:val="left"/>
      <w:pPr>
        <w:tabs>
          <w:tab w:val="num" w:pos="3107"/>
        </w:tabs>
        <w:ind w:left="3107" w:hanging="360"/>
      </w:pPr>
      <w:rPr>
        <w:rFonts w:ascii="Symbol" w:hAnsi="Symbol" w:hint="default"/>
      </w:rPr>
    </w:lvl>
    <w:lvl w:ilvl="4" w:tplc="04100003" w:tentative="1">
      <w:start w:val="1"/>
      <w:numFmt w:val="bullet"/>
      <w:lvlText w:val="o"/>
      <w:lvlJc w:val="left"/>
      <w:pPr>
        <w:tabs>
          <w:tab w:val="num" w:pos="3827"/>
        </w:tabs>
        <w:ind w:left="3827" w:hanging="360"/>
      </w:pPr>
      <w:rPr>
        <w:rFonts w:ascii="Courier New" w:hAnsi="Courier New" w:hint="default"/>
      </w:rPr>
    </w:lvl>
    <w:lvl w:ilvl="5" w:tplc="04100005" w:tentative="1">
      <w:start w:val="1"/>
      <w:numFmt w:val="bullet"/>
      <w:lvlText w:val=""/>
      <w:lvlJc w:val="left"/>
      <w:pPr>
        <w:tabs>
          <w:tab w:val="num" w:pos="4547"/>
        </w:tabs>
        <w:ind w:left="4547" w:hanging="360"/>
      </w:pPr>
      <w:rPr>
        <w:rFonts w:ascii="Wingdings" w:hAnsi="Wingdings" w:hint="default"/>
      </w:rPr>
    </w:lvl>
    <w:lvl w:ilvl="6" w:tplc="04100001" w:tentative="1">
      <w:start w:val="1"/>
      <w:numFmt w:val="bullet"/>
      <w:lvlText w:val=""/>
      <w:lvlJc w:val="left"/>
      <w:pPr>
        <w:tabs>
          <w:tab w:val="num" w:pos="5267"/>
        </w:tabs>
        <w:ind w:left="5267" w:hanging="360"/>
      </w:pPr>
      <w:rPr>
        <w:rFonts w:ascii="Symbol" w:hAnsi="Symbol" w:hint="default"/>
      </w:rPr>
    </w:lvl>
    <w:lvl w:ilvl="7" w:tplc="04100003" w:tentative="1">
      <w:start w:val="1"/>
      <w:numFmt w:val="bullet"/>
      <w:lvlText w:val="o"/>
      <w:lvlJc w:val="left"/>
      <w:pPr>
        <w:tabs>
          <w:tab w:val="num" w:pos="5987"/>
        </w:tabs>
        <w:ind w:left="5987" w:hanging="360"/>
      </w:pPr>
      <w:rPr>
        <w:rFonts w:ascii="Courier New" w:hAnsi="Courier New" w:hint="default"/>
      </w:rPr>
    </w:lvl>
    <w:lvl w:ilvl="8" w:tplc="04100005" w:tentative="1">
      <w:start w:val="1"/>
      <w:numFmt w:val="bullet"/>
      <w:lvlText w:val=""/>
      <w:lvlJc w:val="left"/>
      <w:pPr>
        <w:tabs>
          <w:tab w:val="num" w:pos="6707"/>
        </w:tabs>
        <w:ind w:left="6707" w:hanging="360"/>
      </w:pPr>
      <w:rPr>
        <w:rFonts w:ascii="Wingdings" w:hAnsi="Wingdings" w:hint="default"/>
      </w:rPr>
    </w:lvl>
  </w:abstractNum>
  <w:abstractNum w:abstractNumId="12">
    <w:nsid w:val="3EDB2363"/>
    <w:multiLevelType w:val="hybridMultilevel"/>
    <w:tmpl w:val="7B807D94"/>
    <w:lvl w:ilvl="0" w:tplc="04100017">
      <w:start w:val="1"/>
      <w:numFmt w:val="lowerLetter"/>
      <w:lvlText w:val="%1)"/>
      <w:lvlJc w:val="left"/>
      <w:pPr>
        <w:ind w:left="1034" w:hanging="360"/>
      </w:pPr>
    </w:lvl>
    <w:lvl w:ilvl="1" w:tplc="04100019" w:tentative="1">
      <w:start w:val="1"/>
      <w:numFmt w:val="lowerLetter"/>
      <w:lvlText w:val="%2."/>
      <w:lvlJc w:val="left"/>
      <w:pPr>
        <w:ind w:left="1754" w:hanging="360"/>
      </w:pPr>
    </w:lvl>
    <w:lvl w:ilvl="2" w:tplc="0410001B" w:tentative="1">
      <w:start w:val="1"/>
      <w:numFmt w:val="lowerRoman"/>
      <w:lvlText w:val="%3."/>
      <w:lvlJc w:val="right"/>
      <w:pPr>
        <w:ind w:left="2474" w:hanging="180"/>
      </w:pPr>
    </w:lvl>
    <w:lvl w:ilvl="3" w:tplc="0410000F" w:tentative="1">
      <w:start w:val="1"/>
      <w:numFmt w:val="decimal"/>
      <w:lvlText w:val="%4."/>
      <w:lvlJc w:val="left"/>
      <w:pPr>
        <w:ind w:left="3194" w:hanging="360"/>
      </w:pPr>
    </w:lvl>
    <w:lvl w:ilvl="4" w:tplc="04100019" w:tentative="1">
      <w:start w:val="1"/>
      <w:numFmt w:val="lowerLetter"/>
      <w:lvlText w:val="%5."/>
      <w:lvlJc w:val="left"/>
      <w:pPr>
        <w:ind w:left="3914" w:hanging="360"/>
      </w:pPr>
    </w:lvl>
    <w:lvl w:ilvl="5" w:tplc="0410001B" w:tentative="1">
      <w:start w:val="1"/>
      <w:numFmt w:val="lowerRoman"/>
      <w:lvlText w:val="%6."/>
      <w:lvlJc w:val="right"/>
      <w:pPr>
        <w:ind w:left="4634" w:hanging="180"/>
      </w:pPr>
    </w:lvl>
    <w:lvl w:ilvl="6" w:tplc="0410000F" w:tentative="1">
      <w:start w:val="1"/>
      <w:numFmt w:val="decimal"/>
      <w:lvlText w:val="%7."/>
      <w:lvlJc w:val="left"/>
      <w:pPr>
        <w:ind w:left="5354" w:hanging="360"/>
      </w:pPr>
    </w:lvl>
    <w:lvl w:ilvl="7" w:tplc="04100019" w:tentative="1">
      <w:start w:val="1"/>
      <w:numFmt w:val="lowerLetter"/>
      <w:lvlText w:val="%8."/>
      <w:lvlJc w:val="left"/>
      <w:pPr>
        <w:ind w:left="6074" w:hanging="360"/>
      </w:pPr>
    </w:lvl>
    <w:lvl w:ilvl="8" w:tplc="0410001B" w:tentative="1">
      <w:start w:val="1"/>
      <w:numFmt w:val="lowerRoman"/>
      <w:lvlText w:val="%9."/>
      <w:lvlJc w:val="right"/>
      <w:pPr>
        <w:ind w:left="6794" w:hanging="180"/>
      </w:pPr>
    </w:lvl>
  </w:abstractNum>
  <w:abstractNum w:abstractNumId="13">
    <w:nsid w:val="3EED43A7"/>
    <w:multiLevelType w:val="hybridMultilevel"/>
    <w:tmpl w:val="DB16848E"/>
    <w:lvl w:ilvl="0" w:tplc="04100001">
      <w:start w:val="1"/>
      <w:numFmt w:val="bullet"/>
      <w:lvlText w:val=""/>
      <w:lvlJc w:val="left"/>
      <w:pPr>
        <w:ind w:left="643" w:hanging="360"/>
      </w:pPr>
      <w:rPr>
        <w:rFonts w:ascii="Symbol" w:hAnsi="Symbol" w:hint="default"/>
      </w:rPr>
    </w:lvl>
    <w:lvl w:ilvl="1" w:tplc="FFFFFFFF">
      <w:start w:val="1"/>
      <w:numFmt w:val="bullet"/>
      <w:lvlText w:val="−"/>
      <w:lvlJc w:val="left"/>
      <w:pPr>
        <w:ind w:left="1363" w:hanging="360"/>
      </w:pPr>
      <w:rPr>
        <w:rFonts w:ascii="Calibri" w:hAnsi="Calibri"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14">
    <w:nsid w:val="3F6B38AD"/>
    <w:multiLevelType w:val="hybridMultilevel"/>
    <w:tmpl w:val="1D92ECEC"/>
    <w:lvl w:ilvl="0" w:tplc="4A16A1F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2FA3C14"/>
    <w:multiLevelType w:val="hybridMultilevel"/>
    <w:tmpl w:val="311EB92A"/>
    <w:lvl w:ilvl="0" w:tplc="4A16A1FE">
      <w:start w:val="1"/>
      <w:numFmt w:val="bullet"/>
      <w:lvlText w:val="−"/>
      <w:lvlJc w:val="left"/>
      <w:pPr>
        <w:ind w:left="604" w:hanging="360"/>
      </w:pPr>
      <w:rPr>
        <w:rFonts w:ascii="Calibri" w:hAnsi="Calibri" w:hint="default"/>
      </w:rPr>
    </w:lvl>
    <w:lvl w:ilvl="1" w:tplc="04100003" w:tentative="1">
      <w:start w:val="1"/>
      <w:numFmt w:val="bullet"/>
      <w:lvlText w:val="o"/>
      <w:lvlJc w:val="left"/>
      <w:pPr>
        <w:ind w:left="1324" w:hanging="360"/>
      </w:pPr>
      <w:rPr>
        <w:rFonts w:ascii="Courier New" w:hAnsi="Courier New" w:cs="Courier New" w:hint="default"/>
      </w:rPr>
    </w:lvl>
    <w:lvl w:ilvl="2" w:tplc="04100005" w:tentative="1">
      <w:start w:val="1"/>
      <w:numFmt w:val="bullet"/>
      <w:lvlText w:val=""/>
      <w:lvlJc w:val="left"/>
      <w:pPr>
        <w:ind w:left="2044" w:hanging="360"/>
      </w:pPr>
      <w:rPr>
        <w:rFonts w:ascii="Wingdings" w:hAnsi="Wingdings" w:hint="default"/>
      </w:rPr>
    </w:lvl>
    <w:lvl w:ilvl="3" w:tplc="04100001" w:tentative="1">
      <w:start w:val="1"/>
      <w:numFmt w:val="bullet"/>
      <w:lvlText w:val=""/>
      <w:lvlJc w:val="left"/>
      <w:pPr>
        <w:ind w:left="2764" w:hanging="360"/>
      </w:pPr>
      <w:rPr>
        <w:rFonts w:ascii="Symbol" w:hAnsi="Symbol" w:hint="default"/>
      </w:rPr>
    </w:lvl>
    <w:lvl w:ilvl="4" w:tplc="04100003" w:tentative="1">
      <w:start w:val="1"/>
      <w:numFmt w:val="bullet"/>
      <w:lvlText w:val="o"/>
      <w:lvlJc w:val="left"/>
      <w:pPr>
        <w:ind w:left="3484" w:hanging="360"/>
      </w:pPr>
      <w:rPr>
        <w:rFonts w:ascii="Courier New" w:hAnsi="Courier New" w:cs="Courier New" w:hint="default"/>
      </w:rPr>
    </w:lvl>
    <w:lvl w:ilvl="5" w:tplc="04100005" w:tentative="1">
      <w:start w:val="1"/>
      <w:numFmt w:val="bullet"/>
      <w:lvlText w:val=""/>
      <w:lvlJc w:val="left"/>
      <w:pPr>
        <w:ind w:left="4204" w:hanging="360"/>
      </w:pPr>
      <w:rPr>
        <w:rFonts w:ascii="Wingdings" w:hAnsi="Wingdings" w:hint="default"/>
      </w:rPr>
    </w:lvl>
    <w:lvl w:ilvl="6" w:tplc="04100001" w:tentative="1">
      <w:start w:val="1"/>
      <w:numFmt w:val="bullet"/>
      <w:lvlText w:val=""/>
      <w:lvlJc w:val="left"/>
      <w:pPr>
        <w:ind w:left="4924" w:hanging="360"/>
      </w:pPr>
      <w:rPr>
        <w:rFonts w:ascii="Symbol" w:hAnsi="Symbol" w:hint="default"/>
      </w:rPr>
    </w:lvl>
    <w:lvl w:ilvl="7" w:tplc="04100003" w:tentative="1">
      <w:start w:val="1"/>
      <w:numFmt w:val="bullet"/>
      <w:lvlText w:val="o"/>
      <w:lvlJc w:val="left"/>
      <w:pPr>
        <w:ind w:left="5644" w:hanging="360"/>
      </w:pPr>
      <w:rPr>
        <w:rFonts w:ascii="Courier New" w:hAnsi="Courier New" w:cs="Courier New" w:hint="default"/>
      </w:rPr>
    </w:lvl>
    <w:lvl w:ilvl="8" w:tplc="04100005" w:tentative="1">
      <w:start w:val="1"/>
      <w:numFmt w:val="bullet"/>
      <w:lvlText w:val=""/>
      <w:lvlJc w:val="left"/>
      <w:pPr>
        <w:ind w:left="6364" w:hanging="360"/>
      </w:pPr>
      <w:rPr>
        <w:rFonts w:ascii="Wingdings" w:hAnsi="Wingdings" w:hint="default"/>
      </w:rPr>
    </w:lvl>
  </w:abstractNum>
  <w:abstractNum w:abstractNumId="16">
    <w:nsid w:val="44EF5A27"/>
    <w:multiLevelType w:val="hybridMultilevel"/>
    <w:tmpl w:val="F81CDC5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nsid w:val="48720166"/>
    <w:multiLevelType w:val="hybridMultilevel"/>
    <w:tmpl w:val="97703458"/>
    <w:lvl w:ilvl="0" w:tplc="9176FA90">
      <w:numFmt w:val="bullet"/>
      <w:lvlText w:val=""/>
      <w:lvlJc w:val="left"/>
      <w:pPr>
        <w:ind w:left="360" w:hanging="360"/>
      </w:pPr>
      <w:rPr>
        <w:rFonts w:ascii="Symbol" w:eastAsia="Times New Roman" w:hAnsi="Symbol" w:cs="Arial" w:hint="default"/>
        <w:color w:val="000000"/>
        <w:sz w:val="2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E8D3BE2"/>
    <w:multiLevelType w:val="hybridMultilevel"/>
    <w:tmpl w:val="D5E0B088"/>
    <w:lvl w:ilvl="0" w:tplc="CABC104E">
      <w:start w:val="1"/>
      <w:numFmt w:val="bullet"/>
      <w:pStyle w:val="Puntoni"/>
      <w:lvlText w:val=""/>
      <w:lvlJc w:val="left"/>
      <w:pPr>
        <w:ind w:left="360" w:hanging="360"/>
      </w:pPr>
      <w:rPr>
        <w:rFonts w:ascii="Symbol" w:hAnsi="Symbol"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nsid w:val="524B5434"/>
    <w:multiLevelType w:val="hybridMultilevel"/>
    <w:tmpl w:val="3A2AA6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4A62B99"/>
    <w:multiLevelType w:val="hybridMultilevel"/>
    <w:tmpl w:val="46D604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7522B9D"/>
    <w:multiLevelType w:val="hybridMultilevel"/>
    <w:tmpl w:val="A784E410"/>
    <w:lvl w:ilvl="0" w:tplc="7D0EEB92">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nsid w:val="58AD24B9"/>
    <w:multiLevelType w:val="hybridMultilevel"/>
    <w:tmpl w:val="0CE659F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58EC0BAE"/>
    <w:multiLevelType w:val="hybridMultilevel"/>
    <w:tmpl w:val="70CCD8CA"/>
    <w:lvl w:ilvl="0" w:tplc="4A16A1FE">
      <w:start w:val="1"/>
      <w:numFmt w:val="bullet"/>
      <w:lvlText w:val="−"/>
      <w:lvlJc w:val="left"/>
      <w:pPr>
        <w:ind w:left="598" w:hanging="360"/>
      </w:pPr>
      <w:rPr>
        <w:rFonts w:ascii="Calibri" w:hAnsi="Calibri" w:hint="default"/>
      </w:rPr>
    </w:lvl>
    <w:lvl w:ilvl="1" w:tplc="04100003" w:tentative="1">
      <w:start w:val="1"/>
      <w:numFmt w:val="bullet"/>
      <w:lvlText w:val="o"/>
      <w:lvlJc w:val="left"/>
      <w:pPr>
        <w:ind w:left="1318" w:hanging="360"/>
      </w:pPr>
      <w:rPr>
        <w:rFonts w:ascii="Courier New" w:hAnsi="Courier New" w:cs="Courier New" w:hint="default"/>
      </w:rPr>
    </w:lvl>
    <w:lvl w:ilvl="2" w:tplc="04100005" w:tentative="1">
      <w:start w:val="1"/>
      <w:numFmt w:val="bullet"/>
      <w:lvlText w:val=""/>
      <w:lvlJc w:val="left"/>
      <w:pPr>
        <w:ind w:left="2038" w:hanging="360"/>
      </w:pPr>
      <w:rPr>
        <w:rFonts w:ascii="Wingdings" w:hAnsi="Wingdings" w:hint="default"/>
      </w:rPr>
    </w:lvl>
    <w:lvl w:ilvl="3" w:tplc="04100001" w:tentative="1">
      <w:start w:val="1"/>
      <w:numFmt w:val="bullet"/>
      <w:lvlText w:val=""/>
      <w:lvlJc w:val="left"/>
      <w:pPr>
        <w:ind w:left="2758" w:hanging="360"/>
      </w:pPr>
      <w:rPr>
        <w:rFonts w:ascii="Symbol" w:hAnsi="Symbol" w:hint="default"/>
      </w:rPr>
    </w:lvl>
    <w:lvl w:ilvl="4" w:tplc="04100003" w:tentative="1">
      <w:start w:val="1"/>
      <w:numFmt w:val="bullet"/>
      <w:lvlText w:val="o"/>
      <w:lvlJc w:val="left"/>
      <w:pPr>
        <w:ind w:left="3478" w:hanging="360"/>
      </w:pPr>
      <w:rPr>
        <w:rFonts w:ascii="Courier New" w:hAnsi="Courier New" w:cs="Courier New" w:hint="default"/>
      </w:rPr>
    </w:lvl>
    <w:lvl w:ilvl="5" w:tplc="04100005" w:tentative="1">
      <w:start w:val="1"/>
      <w:numFmt w:val="bullet"/>
      <w:lvlText w:val=""/>
      <w:lvlJc w:val="left"/>
      <w:pPr>
        <w:ind w:left="4198" w:hanging="360"/>
      </w:pPr>
      <w:rPr>
        <w:rFonts w:ascii="Wingdings" w:hAnsi="Wingdings" w:hint="default"/>
      </w:rPr>
    </w:lvl>
    <w:lvl w:ilvl="6" w:tplc="04100001" w:tentative="1">
      <w:start w:val="1"/>
      <w:numFmt w:val="bullet"/>
      <w:lvlText w:val=""/>
      <w:lvlJc w:val="left"/>
      <w:pPr>
        <w:ind w:left="4918" w:hanging="360"/>
      </w:pPr>
      <w:rPr>
        <w:rFonts w:ascii="Symbol" w:hAnsi="Symbol" w:hint="default"/>
      </w:rPr>
    </w:lvl>
    <w:lvl w:ilvl="7" w:tplc="04100003" w:tentative="1">
      <w:start w:val="1"/>
      <w:numFmt w:val="bullet"/>
      <w:lvlText w:val="o"/>
      <w:lvlJc w:val="left"/>
      <w:pPr>
        <w:ind w:left="5638" w:hanging="360"/>
      </w:pPr>
      <w:rPr>
        <w:rFonts w:ascii="Courier New" w:hAnsi="Courier New" w:cs="Courier New" w:hint="default"/>
      </w:rPr>
    </w:lvl>
    <w:lvl w:ilvl="8" w:tplc="04100005" w:tentative="1">
      <w:start w:val="1"/>
      <w:numFmt w:val="bullet"/>
      <w:lvlText w:val=""/>
      <w:lvlJc w:val="left"/>
      <w:pPr>
        <w:ind w:left="6358" w:hanging="360"/>
      </w:pPr>
      <w:rPr>
        <w:rFonts w:ascii="Wingdings" w:hAnsi="Wingdings" w:hint="default"/>
      </w:rPr>
    </w:lvl>
  </w:abstractNum>
  <w:abstractNum w:abstractNumId="24">
    <w:nsid w:val="5D2A4BBB"/>
    <w:multiLevelType w:val="multilevel"/>
    <w:tmpl w:val="0410001D"/>
    <w:styleLink w:val="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A516D5B"/>
    <w:multiLevelType w:val="hybridMultilevel"/>
    <w:tmpl w:val="1034E03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nsid w:val="6E29683E"/>
    <w:multiLevelType w:val="hybridMultilevel"/>
    <w:tmpl w:val="9F3C2C7A"/>
    <w:lvl w:ilvl="0" w:tplc="4A16A1FE">
      <w:start w:val="1"/>
      <w:numFmt w:val="bullet"/>
      <w:lvlText w:val="−"/>
      <w:lvlJc w:val="left"/>
      <w:pPr>
        <w:ind w:left="598" w:hanging="360"/>
      </w:pPr>
      <w:rPr>
        <w:rFonts w:ascii="Calibri" w:hAnsi="Calibri" w:hint="default"/>
      </w:rPr>
    </w:lvl>
    <w:lvl w:ilvl="1" w:tplc="FFFFFFFF">
      <w:start w:val="1"/>
      <w:numFmt w:val="bullet"/>
      <w:lvlText w:val="o"/>
      <w:lvlJc w:val="left"/>
      <w:pPr>
        <w:ind w:left="1318" w:hanging="360"/>
      </w:pPr>
      <w:rPr>
        <w:rFonts w:ascii="Courier New" w:hAnsi="Courier New" w:cs="Courier New" w:hint="default"/>
      </w:rPr>
    </w:lvl>
    <w:lvl w:ilvl="2" w:tplc="FFFFFFFF" w:tentative="1">
      <w:start w:val="1"/>
      <w:numFmt w:val="bullet"/>
      <w:lvlText w:val=""/>
      <w:lvlJc w:val="left"/>
      <w:pPr>
        <w:ind w:left="2038" w:hanging="360"/>
      </w:pPr>
      <w:rPr>
        <w:rFonts w:ascii="Wingdings" w:hAnsi="Wingdings" w:hint="default"/>
      </w:rPr>
    </w:lvl>
    <w:lvl w:ilvl="3" w:tplc="FFFFFFFF" w:tentative="1">
      <w:start w:val="1"/>
      <w:numFmt w:val="bullet"/>
      <w:lvlText w:val=""/>
      <w:lvlJc w:val="left"/>
      <w:pPr>
        <w:ind w:left="2758" w:hanging="360"/>
      </w:pPr>
      <w:rPr>
        <w:rFonts w:ascii="Symbol" w:hAnsi="Symbol" w:hint="default"/>
      </w:rPr>
    </w:lvl>
    <w:lvl w:ilvl="4" w:tplc="FFFFFFFF" w:tentative="1">
      <w:start w:val="1"/>
      <w:numFmt w:val="bullet"/>
      <w:lvlText w:val="o"/>
      <w:lvlJc w:val="left"/>
      <w:pPr>
        <w:ind w:left="3478" w:hanging="360"/>
      </w:pPr>
      <w:rPr>
        <w:rFonts w:ascii="Courier New" w:hAnsi="Courier New" w:cs="Courier New" w:hint="default"/>
      </w:rPr>
    </w:lvl>
    <w:lvl w:ilvl="5" w:tplc="FFFFFFFF" w:tentative="1">
      <w:start w:val="1"/>
      <w:numFmt w:val="bullet"/>
      <w:lvlText w:val=""/>
      <w:lvlJc w:val="left"/>
      <w:pPr>
        <w:ind w:left="4198" w:hanging="360"/>
      </w:pPr>
      <w:rPr>
        <w:rFonts w:ascii="Wingdings" w:hAnsi="Wingdings" w:hint="default"/>
      </w:rPr>
    </w:lvl>
    <w:lvl w:ilvl="6" w:tplc="FFFFFFFF" w:tentative="1">
      <w:start w:val="1"/>
      <w:numFmt w:val="bullet"/>
      <w:lvlText w:val=""/>
      <w:lvlJc w:val="left"/>
      <w:pPr>
        <w:ind w:left="4918" w:hanging="360"/>
      </w:pPr>
      <w:rPr>
        <w:rFonts w:ascii="Symbol" w:hAnsi="Symbol" w:hint="default"/>
      </w:rPr>
    </w:lvl>
    <w:lvl w:ilvl="7" w:tplc="FFFFFFFF" w:tentative="1">
      <w:start w:val="1"/>
      <w:numFmt w:val="bullet"/>
      <w:lvlText w:val="o"/>
      <w:lvlJc w:val="left"/>
      <w:pPr>
        <w:ind w:left="5638" w:hanging="360"/>
      </w:pPr>
      <w:rPr>
        <w:rFonts w:ascii="Courier New" w:hAnsi="Courier New" w:cs="Courier New" w:hint="default"/>
      </w:rPr>
    </w:lvl>
    <w:lvl w:ilvl="8" w:tplc="FFFFFFFF" w:tentative="1">
      <w:start w:val="1"/>
      <w:numFmt w:val="bullet"/>
      <w:lvlText w:val=""/>
      <w:lvlJc w:val="left"/>
      <w:pPr>
        <w:ind w:left="6358" w:hanging="360"/>
      </w:pPr>
      <w:rPr>
        <w:rFonts w:ascii="Wingdings" w:hAnsi="Wingdings" w:hint="default"/>
      </w:rPr>
    </w:lvl>
  </w:abstractNum>
  <w:abstractNum w:abstractNumId="27">
    <w:nsid w:val="7BF8354E"/>
    <w:multiLevelType w:val="hybridMultilevel"/>
    <w:tmpl w:val="8FA04FE0"/>
    <w:lvl w:ilvl="0" w:tplc="9342B4CC">
      <w:start w:val="1"/>
      <w:numFmt w:val="lowerLetter"/>
      <w:lvlText w:val="%1)"/>
      <w:lvlJc w:val="left"/>
      <w:pPr>
        <w:ind w:left="1034" w:hanging="360"/>
      </w:pPr>
      <w:rPr>
        <w:rFonts w:hint="default"/>
      </w:rPr>
    </w:lvl>
    <w:lvl w:ilvl="1" w:tplc="FFFFFFFF" w:tentative="1">
      <w:start w:val="1"/>
      <w:numFmt w:val="lowerLetter"/>
      <w:lvlText w:val="%2."/>
      <w:lvlJc w:val="left"/>
      <w:pPr>
        <w:ind w:left="1754" w:hanging="360"/>
      </w:pPr>
    </w:lvl>
    <w:lvl w:ilvl="2" w:tplc="FFFFFFFF" w:tentative="1">
      <w:start w:val="1"/>
      <w:numFmt w:val="lowerRoman"/>
      <w:lvlText w:val="%3."/>
      <w:lvlJc w:val="right"/>
      <w:pPr>
        <w:ind w:left="2474" w:hanging="180"/>
      </w:pPr>
    </w:lvl>
    <w:lvl w:ilvl="3" w:tplc="FFFFFFFF" w:tentative="1">
      <w:start w:val="1"/>
      <w:numFmt w:val="decimal"/>
      <w:lvlText w:val="%4."/>
      <w:lvlJc w:val="left"/>
      <w:pPr>
        <w:ind w:left="3194" w:hanging="360"/>
      </w:pPr>
    </w:lvl>
    <w:lvl w:ilvl="4" w:tplc="FFFFFFFF" w:tentative="1">
      <w:start w:val="1"/>
      <w:numFmt w:val="lowerLetter"/>
      <w:lvlText w:val="%5."/>
      <w:lvlJc w:val="left"/>
      <w:pPr>
        <w:ind w:left="3914" w:hanging="360"/>
      </w:pPr>
    </w:lvl>
    <w:lvl w:ilvl="5" w:tplc="FFFFFFFF" w:tentative="1">
      <w:start w:val="1"/>
      <w:numFmt w:val="lowerRoman"/>
      <w:lvlText w:val="%6."/>
      <w:lvlJc w:val="right"/>
      <w:pPr>
        <w:ind w:left="4634" w:hanging="180"/>
      </w:pPr>
    </w:lvl>
    <w:lvl w:ilvl="6" w:tplc="FFFFFFFF" w:tentative="1">
      <w:start w:val="1"/>
      <w:numFmt w:val="decimal"/>
      <w:lvlText w:val="%7."/>
      <w:lvlJc w:val="left"/>
      <w:pPr>
        <w:ind w:left="5354" w:hanging="360"/>
      </w:pPr>
    </w:lvl>
    <w:lvl w:ilvl="7" w:tplc="FFFFFFFF" w:tentative="1">
      <w:start w:val="1"/>
      <w:numFmt w:val="lowerLetter"/>
      <w:lvlText w:val="%8."/>
      <w:lvlJc w:val="left"/>
      <w:pPr>
        <w:ind w:left="6074" w:hanging="360"/>
      </w:pPr>
    </w:lvl>
    <w:lvl w:ilvl="8" w:tplc="FFFFFFFF" w:tentative="1">
      <w:start w:val="1"/>
      <w:numFmt w:val="lowerRoman"/>
      <w:lvlText w:val="%9."/>
      <w:lvlJc w:val="right"/>
      <w:pPr>
        <w:ind w:left="6794" w:hanging="180"/>
      </w:pPr>
    </w:lvl>
  </w:abstractNum>
  <w:abstractNum w:abstractNumId="28">
    <w:nsid w:val="7CFC1480"/>
    <w:multiLevelType w:val="hybridMultilevel"/>
    <w:tmpl w:val="5F4A22A4"/>
    <w:lvl w:ilvl="0" w:tplc="4A16A1FE">
      <w:start w:val="1"/>
      <w:numFmt w:val="bullet"/>
      <w:lvlText w:val="−"/>
      <w:lvlJc w:val="left"/>
      <w:pPr>
        <w:ind w:left="643" w:hanging="360"/>
      </w:pPr>
      <w:rPr>
        <w:rFonts w:ascii="Calibri" w:hAnsi="Calibri" w:hint="default"/>
      </w:rPr>
    </w:lvl>
    <w:lvl w:ilvl="1" w:tplc="04100003" w:tentative="1">
      <w:start w:val="1"/>
      <w:numFmt w:val="bullet"/>
      <w:lvlText w:val="o"/>
      <w:lvlJc w:val="left"/>
      <w:pPr>
        <w:ind w:left="1363" w:hanging="360"/>
      </w:pPr>
      <w:rPr>
        <w:rFonts w:ascii="Courier New" w:hAnsi="Courier New" w:cs="Courier New" w:hint="default"/>
      </w:rPr>
    </w:lvl>
    <w:lvl w:ilvl="2" w:tplc="04100005" w:tentative="1">
      <w:start w:val="1"/>
      <w:numFmt w:val="bullet"/>
      <w:lvlText w:val=""/>
      <w:lvlJc w:val="left"/>
      <w:pPr>
        <w:ind w:left="2083" w:hanging="360"/>
      </w:pPr>
      <w:rPr>
        <w:rFonts w:ascii="Wingdings" w:hAnsi="Wingdings" w:hint="default"/>
      </w:rPr>
    </w:lvl>
    <w:lvl w:ilvl="3" w:tplc="04100001" w:tentative="1">
      <w:start w:val="1"/>
      <w:numFmt w:val="bullet"/>
      <w:lvlText w:val=""/>
      <w:lvlJc w:val="left"/>
      <w:pPr>
        <w:ind w:left="2803" w:hanging="360"/>
      </w:pPr>
      <w:rPr>
        <w:rFonts w:ascii="Symbol" w:hAnsi="Symbol" w:hint="default"/>
      </w:rPr>
    </w:lvl>
    <w:lvl w:ilvl="4" w:tplc="04100003" w:tentative="1">
      <w:start w:val="1"/>
      <w:numFmt w:val="bullet"/>
      <w:lvlText w:val="o"/>
      <w:lvlJc w:val="left"/>
      <w:pPr>
        <w:ind w:left="3523" w:hanging="360"/>
      </w:pPr>
      <w:rPr>
        <w:rFonts w:ascii="Courier New" w:hAnsi="Courier New" w:cs="Courier New" w:hint="default"/>
      </w:rPr>
    </w:lvl>
    <w:lvl w:ilvl="5" w:tplc="04100005" w:tentative="1">
      <w:start w:val="1"/>
      <w:numFmt w:val="bullet"/>
      <w:lvlText w:val=""/>
      <w:lvlJc w:val="left"/>
      <w:pPr>
        <w:ind w:left="4243" w:hanging="360"/>
      </w:pPr>
      <w:rPr>
        <w:rFonts w:ascii="Wingdings" w:hAnsi="Wingdings" w:hint="default"/>
      </w:rPr>
    </w:lvl>
    <w:lvl w:ilvl="6" w:tplc="04100001" w:tentative="1">
      <w:start w:val="1"/>
      <w:numFmt w:val="bullet"/>
      <w:lvlText w:val=""/>
      <w:lvlJc w:val="left"/>
      <w:pPr>
        <w:ind w:left="4963" w:hanging="360"/>
      </w:pPr>
      <w:rPr>
        <w:rFonts w:ascii="Symbol" w:hAnsi="Symbol" w:hint="default"/>
      </w:rPr>
    </w:lvl>
    <w:lvl w:ilvl="7" w:tplc="04100003" w:tentative="1">
      <w:start w:val="1"/>
      <w:numFmt w:val="bullet"/>
      <w:lvlText w:val="o"/>
      <w:lvlJc w:val="left"/>
      <w:pPr>
        <w:ind w:left="5683" w:hanging="360"/>
      </w:pPr>
      <w:rPr>
        <w:rFonts w:ascii="Courier New" w:hAnsi="Courier New" w:cs="Courier New" w:hint="default"/>
      </w:rPr>
    </w:lvl>
    <w:lvl w:ilvl="8" w:tplc="04100005" w:tentative="1">
      <w:start w:val="1"/>
      <w:numFmt w:val="bullet"/>
      <w:lvlText w:val=""/>
      <w:lvlJc w:val="left"/>
      <w:pPr>
        <w:ind w:left="6403" w:hanging="360"/>
      </w:pPr>
      <w:rPr>
        <w:rFonts w:ascii="Wingdings" w:hAnsi="Wingdings" w:hint="default"/>
      </w:rPr>
    </w:lvl>
  </w:abstractNum>
  <w:num w:numId="1">
    <w:abstractNumId w:val="11"/>
  </w:num>
  <w:num w:numId="2">
    <w:abstractNumId w:val="10"/>
  </w:num>
  <w:num w:numId="3">
    <w:abstractNumId w:val="24"/>
  </w:num>
  <w:num w:numId="4">
    <w:abstractNumId w:val="9"/>
  </w:num>
  <w:num w:numId="5">
    <w:abstractNumId w:val="1"/>
  </w:num>
  <w:num w:numId="6">
    <w:abstractNumId w:val="18"/>
  </w:num>
  <w:num w:numId="7">
    <w:abstractNumId w:val="1"/>
  </w:num>
  <w:num w:numId="8">
    <w:abstractNumId w:val="3"/>
  </w:num>
  <w:num w:numId="9">
    <w:abstractNumId w:val="0"/>
  </w:num>
  <w:num w:numId="10">
    <w:abstractNumId w:val="25"/>
  </w:num>
  <w:num w:numId="11">
    <w:abstractNumId w:val="14"/>
  </w:num>
  <w:num w:numId="12">
    <w:abstractNumId w:val="28"/>
  </w:num>
  <w:num w:numId="13">
    <w:abstractNumId w:val="8"/>
  </w:num>
  <w:num w:numId="14">
    <w:abstractNumId w:val="16"/>
  </w:num>
  <w:num w:numId="15">
    <w:abstractNumId w:val="22"/>
  </w:num>
  <w:num w:numId="16">
    <w:abstractNumId w:val="12"/>
  </w:num>
  <w:num w:numId="17">
    <w:abstractNumId w:val="4"/>
  </w:num>
  <w:num w:numId="18">
    <w:abstractNumId w:val="27"/>
  </w:num>
  <w:num w:numId="19">
    <w:abstractNumId w:val="1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7"/>
  </w:num>
  <w:num w:numId="26">
    <w:abstractNumId w:val="19"/>
  </w:num>
  <w:num w:numId="27">
    <w:abstractNumId w:val="5"/>
  </w:num>
  <w:num w:numId="28">
    <w:abstractNumId w:val="13"/>
  </w:num>
  <w:num w:numId="29">
    <w:abstractNumId w:val="26"/>
  </w:num>
  <w:num w:numId="30">
    <w:abstractNumId w:val="23"/>
  </w:num>
  <w:num w:numId="31">
    <w:abstractNumId w:val="2"/>
  </w:num>
  <w:num w:numId="32">
    <w:abstractNumId w:val="17"/>
  </w:num>
  <w:num w:numId="33">
    <w:abstractNumId w:val="15"/>
  </w:num>
  <w:num w:numId="34">
    <w:abstractNumId w:val="6"/>
  </w:num>
  <w:num w:numId="35">
    <w:abstractNumId w:val="20"/>
  </w:num>
  <w:num w:numId="36">
    <w:abstractNumId w:val="17"/>
  </w:num>
  <w:num w:numId="37">
    <w:abstractNumId w:val="21"/>
  </w:num>
  <w:num w:numId="38">
    <w:abstractNumId w:val="15"/>
  </w:num>
  <w:num w:numId="39">
    <w:abstractNumId w:val="1"/>
    <w:lvlOverride w:ilvl="0"/>
    <w:lvlOverride w:ilvl="1"/>
    <w:lvlOverride w:ilvl="2"/>
    <w:lvlOverride w:ilvl="3"/>
    <w:lvlOverride w:ilvl="4"/>
    <w:lvlOverride w:ilvl="5"/>
    <w:lvlOverride w:ilvl="6"/>
    <w:lvlOverride w:ilvl="7"/>
    <w:lvlOverride w:ilvl="8"/>
  </w:num>
  <w:num w:numId="40">
    <w:abstractNumId w:val="17"/>
    <w:lvlOverride w:ilvl="0"/>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pPr>
      <w:keepNext/>
      <w:widowControl w:val="0"/>
      <w:pBdr>
        <w:bottom w:val="single" w:sz="18" w:space="1" w:color="C0C0C0"/>
      </w:pBdr>
      <w:suppressAutoHyphens/>
      <w:autoSpaceDE w:val="0"/>
      <w:autoSpaceDN w:val="0"/>
      <w:adjustRightInd w:val="0"/>
      <w:spacing w:before="240" w:after="60" w:line="288" w:lineRule="auto"/>
      <w:jc w:val="both"/>
      <w:textAlignment w:val="center"/>
      <w:outlineLvl w:val="1"/>
    </w:pPr>
    <w:rPr>
      <w:rFonts w:ascii="Calibri" w:eastAsia="Times New Roman" w:hAnsi="Calibri" w:cs="Calibri"/>
      <w:color w:val="000000"/>
      <w:szCs w:val="20"/>
      <w:lang w:eastAsia="it-IT"/>
    </w:rPr>
  </w:style>
  <w:style w:type="paragraph" w:styleId="Titolo3">
    <w:name w:val="heading 3"/>
    <w:basedOn w:val="Normale"/>
    <w:next w:val="Normale"/>
    <w:link w:val="Titolo3Carattere"/>
    <w:pPr>
      <w:keepNext/>
      <w:suppressAutoHyphens/>
      <w:autoSpaceDE w:val="0"/>
      <w:autoSpaceDN w:val="0"/>
      <w:adjustRightInd w:val="0"/>
      <w:spacing w:after="0" w:line="288" w:lineRule="auto"/>
      <w:jc w:val="right"/>
      <w:textAlignment w:val="center"/>
      <w:outlineLvl w:val="2"/>
    </w:pPr>
    <w:rPr>
      <w:rFonts w:ascii="Calibri" w:eastAsia="Calibri" w:hAnsi="Calibri" w:cs="Arial"/>
      <w:b/>
      <w:bCs/>
      <w:noProof/>
      <w:color w:val="000000"/>
      <w:lang w:eastAsia="it-IT"/>
    </w:rPr>
  </w:style>
  <w:style w:type="paragraph" w:styleId="Titolo4">
    <w:name w:val="heading 4"/>
    <w:basedOn w:val="Normale"/>
    <w:next w:val="Normale"/>
    <w:link w:val="Titolo4Carattere"/>
    <w:pPr>
      <w:keepNext/>
      <w:widowControl w:val="0"/>
      <w:suppressAutoHyphens/>
      <w:autoSpaceDE w:val="0"/>
      <w:autoSpaceDN w:val="0"/>
      <w:adjustRightInd w:val="0"/>
      <w:spacing w:before="240" w:after="60" w:line="288" w:lineRule="auto"/>
      <w:jc w:val="both"/>
      <w:textAlignment w:val="center"/>
      <w:outlineLvl w:val="3"/>
    </w:pPr>
    <w:rPr>
      <w:rFonts w:ascii="Calibri" w:eastAsia="Times New Roman" w:hAnsi="Calibri" w:cs="Calibri"/>
      <w:b/>
      <w:i/>
      <w:color w:val="000000"/>
      <w:szCs w:val="20"/>
      <w:lang w:eastAsia="it-IT"/>
    </w:rPr>
  </w:style>
  <w:style w:type="paragraph" w:styleId="Titolo5">
    <w:name w:val="heading 5"/>
    <w:basedOn w:val="Normale"/>
    <w:next w:val="Normale"/>
    <w:link w:val="Titolo5Carattere"/>
    <w:pPr>
      <w:keepNext/>
      <w:suppressAutoHyphens/>
      <w:autoSpaceDE w:val="0"/>
      <w:autoSpaceDN w:val="0"/>
      <w:adjustRightInd w:val="0"/>
      <w:spacing w:before="100" w:beforeAutospacing="1" w:after="0" w:line="288" w:lineRule="auto"/>
      <w:textAlignment w:val="center"/>
      <w:outlineLvl w:val="4"/>
    </w:pPr>
    <w:rPr>
      <w:rFonts w:ascii="Eras Medium ITC" w:eastAsia="Calibri" w:hAnsi="Eras Medium ITC" w:cs="Arial"/>
      <w:b/>
      <w:bCs/>
      <w:color w:val="000000"/>
      <w:lang w:eastAsia="it-IT"/>
    </w:rPr>
  </w:style>
  <w:style w:type="paragraph" w:styleId="Titolo6">
    <w:name w:val="heading 6"/>
    <w:basedOn w:val="Normale"/>
    <w:link w:val="Titolo6Carattere"/>
    <w:qFormat/>
    <w:pPr>
      <w:spacing w:before="100" w:beforeAutospacing="1" w:after="100" w:afterAutospacing="1" w:line="240" w:lineRule="auto"/>
      <w:outlineLvl w:val="5"/>
    </w:pPr>
    <w:rPr>
      <w:rFonts w:ascii="Times New Roman" w:eastAsia="Times New Roman" w:hAnsi="Times New Roman" w:cs="Times New Roman"/>
      <w:b/>
      <w:bCs/>
      <w:sz w:val="15"/>
      <w:szCs w:val="15"/>
      <w:lang w:eastAsia="it-IT"/>
    </w:rPr>
  </w:style>
  <w:style w:type="paragraph" w:styleId="Titolo7">
    <w:name w:val="heading 7"/>
    <w:basedOn w:val="Normale"/>
    <w:next w:val="Normale"/>
    <w:link w:val="Titolo7Carattere"/>
    <w:pPr>
      <w:keepNext/>
      <w:suppressAutoHyphens/>
      <w:autoSpaceDE w:val="0"/>
      <w:autoSpaceDN w:val="0"/>
      <w:adjustRightInd w:val="0"/>
      <w:spacing w:before="20" w:after="20" w:line="288" w:lineRule="auto"/>
      <w:jc w:val="center"/>
      <w:textAlignment w:val="center"/>
      <w:outlineLvl w:val="6"/>
    </w:pPr>
    <w:rPr>
      <w:rFonts w:ascii="Calibri" w:eastAsia="Calibri" w:hAnsi="Calibri" w:cs="Calibri"/>
      <w:b/>
      <w:i/>
      <w:color w:val="000000"/>
      <w:lang w:eastAsia="it-IT"/>
    </w:rPr>
  </w:style>
  <w:style w:type="paragraph" w:styleId="Titolo8">
    <w:name w:val="heading 8"/>
    <w:basedOn w:val="Normale"/>
    <w:next w:val="Normale"/>
    <w:link w:val="Titolo8Carattere"/>
    <w:uiPriority w:val="9"/>
    <w:semiHidden/>
    <w:unhideWhenUsed/>
    <w:pPr>
      <w:suppressAutoHyphens/>
      <w:autoSpaceDE w:val="0"/>
      <w:autoSpaceDN w:val="0"/>
      <w:adjustRightInd w:val="0"/>
      <w:spacing w:before="240" w:after="60" w:line="288" w:lineRule="auto"/>
      <w:textAlignment w:val="center"/>
      <w:outlineLvl w:val="7"/>
    </w:pPr>
    <w:rPr>
      <w:rFonts w:ascii="Calibri" w:eastAsia="Times New Roman" w:hAnsi="Calibri" w:cs="Times New Roman"/>
      <w:i/>
      <w:iCs/>
      <w:color w:val="000000"/>
      <w:sz w:val="24"/>
      <w:szCs w:val="24"/>
      <w:lang w:eastAsia="it-IT"/>
    </w:rPr>
  </w:style>
  <w:style w:type="paragraph" w:styleId="Titolo9">
    <w:name w:val="heading 9"/>
    <w:basedOn w:val="Normale"/>
    <w:next w:val="Normale"/>
    <w:link w:val="Titolo9Carattere"/>
    <w:pPr>
      <w:keepNext/>
      <w:suppressAutoHyphens/>
      <w:autoSpaceDE w:val="0"/>
      <w:autoSpaceDN w:val="0"/>
      <w:adjustRightInd w:val="0"/>
      <w:spacing w:before="40" w:after="0" w:line="288" w:lineRule="auto"/>
      <w:jc w:val="center"/>
      <w:textAlignment w:val="center"/>
      <w:outlineLvl w:val="8"/>
    </w:pPr>
    <w:rPr>
      <w:rFonts w:ascii="Calibri" w:eastAsia="Calibri" w:hAnsi="Calibri" w:cs="Calibri"/>
      <w:b/>
      <w:smallCaps/>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basedOn w:val="Carpredefinitoparagrafo"/>
    <w:link w:val="Titolo6"/>
    <w:uiPriority w:val="9"/>
    <w:rPr>
      <w:rFonts w:ascii="Times New Roman" w:eastAsia="Times New Roman" w:hAnsi="Times New Roman" w:cs="Times New Roman"/>
      <w:b/>
      <w:bCs/>
      <w:sz w:val="15"/>
      <w:szCs w:val="15"/>
      <w:lang w:eastAsia="it-IT"/>
    </w:rPr>
  </w:style>
  <w:style w:type="character" w:styleId="Collegamentoipertestuale">
    <w:name w:val="Hyperlink"/>
    <w:basedOn w:val="Carpredefinitoparagrafo"/>
    <w:uiPriority w:val="99"/>
    <w:unhideWhenUsed/>
    <w:rPr>
      <w:color w:val="0000FF"/>
      <w:u w:val="single"/>
    </w:rPr>
  </w:style>
  <w:style w:type="paragraph" w:customStyle="1" w:styleId="data-news">
    <w:name w:val="data-news"/>
    <w:basedOn w:val="Normal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se">
    <w:name w:val="mese"/>
    <w:basedOn w:val="Normal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igtext">
    <w:name w:val="bigtext"/>
    <w:basedOn w:val="Normal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malltext">
    <w:name w:val="smalltext"/>
    <w:basedOn w:val="Normal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mleft10">
    <w:name w:val="mleft10"/>
    <w:basedOn w:val="Carpredefinitoparagrafo"/>
  </w:style>
  <w:style w:type="character" w:styleId="Numeropagina">
    <w:name w:val="page number"/>
    <w:basedOn w:val="Carpredefinitoparagrafo"/>
    <w:uiPriority w:val="99"/>
  </w:style>
  <w:style w:type="table" w:styleId="Grigliatabella">
    <w:name w:val="Table Grid"/>
    <w:basedOn w:val="Tabellanormale"/>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nhideWhenUs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style>
  <w:style w:type="paragraph" w:styleId="Pidipagina">
    <w:name w:val="footer"/>
    <w:basedOn w:val="Normale"/>
    <w:link w:val="PidipaginaCarattere"/>
    <w:unhideWhenUsed/>
    <w:pPr>
      <w:tabs>
        <w:tab w:val="center" w:pos="4819"/>
        <w:tab w:val="right" w:pos="9638"/>
      </w:tabs>
      <w:spacing w:after="0" w:line="240" w:lineRule="auto"/>
    </w:pPr>
  </w:style>
  <w:style w:type="character" w:customStyle="1" w:styleId="PidipaginaCarattere">
    <w:name w:val="Piè di pagina Carattere"/>
    <w:basedOn w:val="Carpredefinitoparagrafo"/>
    <w:link w:val="Pidipagina"/>
  </w:style>
  <w:style w:type="paragraph" w:styleId="NormaleWeb">
    <w:name w:val="Normal (Web)"/>
    <w:basedOn w:val="Normale"/>
    <w:uiPriority w:val="99"/>
    <w:unhideWhenUse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Pr>
      <w:b/>
      <w:bCs/>
    </w:rPr>
  </w:style>
  <w:style w:type="paragraph" w:styleId="Paragrafoelenco">
    <w:name w:val="List Paragraph"/>
    <w:basedOn w:val="Normale"/>
    <w:link w:val="ParagrafoelencoCarattere"/>
    <w:uiPriority w:val="1"/>
    <w:qFormat/>
    <w:pPr>
      <w:ind w:left="720"/>
      <w:contextualSpacing/>
    </w:pPr>
  </w:style>
  <w:style w:type="paragraph" w:styleId="Testofumetto">
    <w:name w:val="Balloon Text"/>
    <w:basedOn w:val="Normale"/>
    <w:link w:val="TestofumettoCarattere"/>
    <w:semiHidden/>
    <w:unhideWhenUse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character" w:customStyle="1" w:styleId="Titolo1Carattere">
    <w:name w:val="Titolo 1 Carattere"/>
    <w:basedOn w:val="Carpredefinitoparagrafo"/>
    <w:link w:val="Titolo1"/>
    <w:uiPriority w:val="9"/>
    <w:rPr>
      <w:rFonts w:asciiTheme="majorHAnsi" w:eastAsiaTheme="majorEastAsia" w:hAnsiTheme="majorHAnsi" w:cstheme="majorBidi"/>
      <w:b/>
      <w:bCs/>
      <w:color w:val="365F91" w:themeColor="accent1" w:themeShade="BF"/>
      <w:sz w:val="28"/>
      <w:szCs w:val="28"/>
    </w:rPr>
  </w:style>
  <w:style w:type="character" w:styleId="Enfasicorsivo">
    <w:name w:val="Emphasis"/>
    <w:basedOn w:val="Carpredefinitoparagrafo"/>
    <w:uiPriority w:val="20"/>
    <w:qFormat/>
    <w:rPr>
      <w:i/>
      <w:iCs/>
    </w:rPr>
  </w:style>
  <w:style w:type="paragraph" w:styleId="PreformattatoHTML">
    <w:name w:val="HTML Preformatted"/>
    <w:basedOn w:val="Normale"/>
    <w:link w:val="PreformattatoHTMLCarattere"/>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Pr>
      <w:rFonts w:ascii="Courier New" w:eastAsia="Times New Roman" w:hAnsi="Courier New" w:cs="Courier New"/>
      <w:sz w:val="20"/>
      <w:szCs w:val="20"/>
      <w:lang w:eastAsia="it-IT"/>
    </w:rPr>
  </w:style>
  <w:style w:type="paragraph" w:customStyle="1" w:styleId="Corpodeltesto21">
    <w:name w:val="Corpo del testo 21"/>
    <w:basedOn w:val="Normale"/>
    <w:uiPriority w:val="99"/>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szCs w:val="20"/>
      <w:lang w:eastAsia="it-IT"/>
    </w:rPr>
  </w:style>
  <w:style w:type="paragraph" w:styleId="Corpotesto">
    <w:name w:val="Body Text"/>
    <w:basedOn w:val="Normale"/>
    <w:link w:val="CorpotestoCarattere"/>
    <w:uiPriority w:val="99"/>
    <w:pPr>
      <w:suppressAutoHyphens/>
      <w:autoSpaceDE w:val="0"/>
      <w:autoSpaceDN w:val="0"/>
      <w:adjustRightInd w:val="0"/>
      <w:spacing w:after="120" w:line="288" w:lineRule="auto"/>
      <w:textAlignment w:val="center"/>
    </w:pPr>
    <w:rPr>
      <w:rFonts w:ascii="Calibri" w:eastAsia="Calibri" w:hAnsi="Calibri" w:cs="Calibri"/>
      <w:color w:val="000000"/>
      <w:lang w:eastAsia="it-IT"/>
    </w:rPr>
  </w:style>
  <w:style w:type="character" w:customStyle="1" w:styleId="CorpotestoCarattere">
    <w:name w:val="Corpo testo Carattere"/>
    <w:basedOn w:val="Carpredefinitoparagrafo"/>
    <w:link w:val="Corpotesto"/>
    <w:uiPriority w:val="99"/>
    <w:rPr>
      <w:rFonts w:ascii="Calibri" w:eastAsia="Calibri" w:hAnsi="Calibri" w:cs="Calibri"/>
      <w:color w:val="000000"/>
      <w:lang w:eastAsia="it-IT"/>
    </w:rPr>
  </w:style>
  <w:style w:type="paragraph" w:customStyle="1" w:styleId="Pa4">
    <w:name w:val="Pa4"/>
    <w:basedOn w:val="Default"/>
    <w:next w:val="Default"/>
    <w:uiPriority w:val="99"/>
    <w:pPr>
      <w:spacing w:line="221" w:lineRule="atLeast"/>
    </w:pPr>
    <w:rPr>
      <w:rFonts w:eastAsia="Calibri"/>
      <w:color w:val="auto"/>
      <w:lang w:eastAsia="it-IT"/>
    </w:rPr>
  </w:style>
  <w:style w:type="character" w:customStyle="1" w:styleId="Titolo2Carattere">
    <w:name w:val="Titolo 2 Carattere"/>
    <w:basedOn w:val="Carpredefinitoparagrafo"/>
    <w:link w:val="Titolo2"/>
    <w:rPr>
      <w:rFonts w:ascii="Calibri" w:eastAsia="Times New Roman" w:hAnsi="Calibri" w:cs="Calibri"/>
      <w:color w:val="000000"/>
      <w:szCs w:val="20"/>
      <w:lang w:eastAsia="it-IT"/>
    </w:rPr>
  </w:style>
  <w:style w:type="character" w:customStyle="1" w:styleId="Titolo3Carattere">
    <w:name w:val="Titolo 3 Carattere"/>
    <w:basedOn w:val="Carpredefinitoparagrafo"/>
    <w:link w:val="Titolo3"/>
    <w:rPr>
      <w:rFonts w:ascii="Calibri" w:eastAsia="Calibri" w:hAnsi="Calibri" w:cs="Arial"/>
      <w:b/>
      <w:bCs/>
      <w:noProof/>
      <w:color w:val="000000"/>
      <w:lang w:eastAsia="it-IT"/>
    </w:rPr>
  </w:style>
  <w:style w:type="character" w:customStyle="1" w:styleId="Titolo4Carattere">
    <w:name w:val="Titolo 4 Carattere"/>
    <w:basedOn w:val="Carpredefinitoparagrafo"/>
    <w:link w:val="Titolo4"/>
    <w:rPr>
      <w:rFonts w:ascii="Calibri" w:eastAsia="Times New Roman" w:hAnsi="Calibri" w:cs="Calibri"/>
      <w:b/>
      <w:i/>
      <w:color w:val="000000"/>
      <w:szCs w:val="20"/>
      <w:lang w:eastAsia="it-IT"/>
    </w:rPr>
  </w:style>
  <w:style w:type="character" w:customStyle="1" w:styleId="Titolo5Carattere">
    <w:name w:val="Titolo 5 Carattere"/>
    <w:basedOn w:val="Carpredefinitoparagrafo"/>
    <w:link w:val="Titolo5"/>
    <w:rPr>
      <w:rFonts w:ascii="Eras Medium ITC" w:eastAsia="Calibri" w:hAnsi="Eras Medium ITC" w:cs="Arial"/>
      <w:b/>
      <w:bCs/>
      <w:color w:val="000000"/>
      <w:lang w:eastAsia="it-IT"/>
    </w:rPr>
  </w:style>
  <w:style w:type="character" w:customStyle="1" w:styleId="Titolo7Carattere">
    <w:name w:val="Titolo 7 Carattere"/>
    <w:basedOn w:val="Carpredefinitoparagrafo"/>
    <w:link w:val="Titolo7"/>
    <w:rPr>
      <w:rFonts w:ascii="Calibri" w:eastAsia="Calibri" w:hAnsi="Calibri" w:cs="Calibri"/>
      <w:b/>
      <w:i/>
      <w:color w:val="000000"/>
      <w:lang w:eastAsia="it-IT"/>
    </w:rPr>
  </w:style>
  <w:style w:type="character" w:customStyle="1" w:styleId="Titolo8Carattere">
    <w:name w:val="Titolo 8 Carattere"/>
    <w:basedOn w:val="Carpredefinitoparagrafo"/>
    <w:link w:val="Titolo8"/>
    <w:uiPriority w:val="9"/>
    <w:semiHidden/>
    <w:rPr>
      <w:rFonts w:ascii="Calibri" w:eastAsia="Times New Roman" w:hAnsi="Calibri" w:cs="Times New Roman"/>
      <w:i/>
      <w:iCs/>
      <w:color w:val="000000"/>
      <w:sz w:val="24"/>
      <w:szCs w:val="24"/>
      <w:lang w:eastAsia="it-IT"/>
    </w:rPr>
  </w:style>
  <w:style w:type="character" w:customStyle="1" w:styleId="Titolo9Carattere">
    <w:name w:val="Titolo 9 Carattere"/>
    <w:basedOn w:val="Carpredefinitoparagrafo"/>
    <w:link w:val="Titolo9"/>
    <w:rPr>
      <w:rFonts w:ascii="Calibri" w:eastAsia="Calibri" w:hAnsi="Calibri" w:cs="Calibri"/>
      <w:b/>
      <w:smallCaps/>
      <w:color w:val="000000"/>
      <w:lang w:eastAsia="it-IT"/>
    </w:rPr>
  </w:style>
  <w:style w:type="paragraph" w:customStyle="1" w:styleId="Oggetto">
    <w:name w:val="Oggetto"/>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b/>
      <w:color w:val="000000"/>
      <w:szCs w:val="20"/>
      <w:lang w:eastAsia="it-IT"/>
    </w:rPr>
  </w:style>
  <w:style w:type="paragraph" w:customStyle="1" w:styleId="6P">
    <w:name w:val="6P"/>
    <w:basedOn w:val="Normale"/>
    <w:pPr>
      <w:widowControl w:val="0"/>
      <w:suppressAutoHyphens/>
      <w:autoSpaceDE w:val="0"/>
      <w:autoSpaceDN w:val="0"/>
      <w:adjustRightInd w:val="0"/>
      <w:spacing w:after="0" w:line="-120" w:lineRule="auto"/>
      <w:jc w:val="both"/>
      <w:textAlignment w:val="center"/>
    </w:pPr>
    <w:rPr>
      <w:rFonts w:ascii="Calibri" w:eastAsia="Times New Roman" w:hAnsi="Calibri" w:cs="Calibri"/>
      <w:color w:val="000000"/>
      <w:szCs w:val="20"/>
      <w:lang w:eastAsia="it-IT"/>
    </w:rPr>
  </w:style>
  <w:style w:type="paragraph" w:styleId="Corpodeltesto2">
    <w:name w:val="Body Text 2"/>
    <w:basedOn w:val="Normale"/>
    <w:link w:val="Corpodeltesto2Carattere"/>
    <w:semiHidden/>
    <w:pPr>
      <w:widowControl w:val="0"/>
      <w:suppressAutoHyphens/>
      <w:autoSpaceDE w:val="0"/>
      <w:autoSpaceDN w:val="0"/>
      <w:adjustRightInd w:val="0"/>
      <w:spacing w:after="0" w:line="288" w:lineRule="auto"/>
      <w:textAlignment w:val="center"/>
    </w:pPr>
    <w:rPr>
      <w:rFonts w:ascii="Calibri" w:eastAsia="Times New Roman" w:hAnsi="Calibri" w:cs="Calibri"/>
      <w:color w:val="000000"/>
      <w:szCs w:val="20"/>
      <w:lang w:eastAsia="it-IT"/>
    </w:rPr>
  </w:style>
  <w:style w:type="character" w:customStyle="1" w:styleId="Corpodeltesto2Carattere">
    <w:name w:val="Corpo del testo 2 Carattere"/>
    <w:basedOn w:val="Carpredefinitoparagrafo"/>
    <w:link w:val="Corpodeltesto2"/>
    <w:semiHidden/>
    <w:rPr>
      <w:rFonts w:ascii="Calibri" w:eastAsia="Times New Roman" w:hAnsi="Calibri" w:cs="Calibri"/>
      <w:color w:val="000000"/>
      <w:szCs w:val="20"/>
      <w:lang w:eastAsia="it-IT"/>
    </w:rPr>
  </w:style>
  <w:style w:type="paragraph" w:customStyle="1" w:styleId="RIFERIMENTI">
    <w:name w:val="RIFERIMENTI"/>
    <w:basedOn w:val="Normale"/>
    <w:pPr>
      <w:numPr>
        <w:numId w:val="1"/>
      </w:numPr>
      <w:suppressAutoHyphens/>
      <w:autoSpaceDE w:val="0"/>
      <w:autoSpaceDN w:val="0"/>
      <w:adjustRightInd w:val="0"/>
      <w:spacing w:after="0" w:line="288" w:lineRule="auto"/>
      <w:textAlignment w:val="center"/>
    </w:pPr>
    <w:rPr>
      <w:rFonts w:ascii="Eras Medium ITC" w:eastAsia="Calibri" w:hAnsi="Eras Medium ITC" w:cs="Arial"/>
      <w:color w:val="000000"/>
      <w:lang w:eastAsia="it-IT"/>
    </w:rPr>
  </w:style>
  <w:style w:type="paragraph" w:customStyle="1" w:styleId="titoloterzo">
    <w:name w:val="titoloterzo"/>
    <w:basedOn w:val="Corpotesto"/>
    <w:pPr>
      <w:widowControl w:val="0"/>
      <w:tabs>
        <w:tab w:val="right" w:pos="9356"/>
      </w:tabs>
      <w:spacing w:before="160" w:after="80"/>
      <w:jc w:val="both"/>
    </w:pPr>
    <w:rPr>
      <w:rFonts w:eastAsia="Times New Roman"/>
      <w:b/>
      <w:spacing w:val="2"/>
      <w:szCs w:val="20"/>
    </w:rPr>
  </w:style>
  <w:style w:type="paragraph" w:customStyle="1" w:styleId="BodyText31">
    <w:name w:val="Body Text 31"/>
    <w:basedOn w:val="Normale"/>
    <w:pPr>
      <w:widowControl w:val="0"/>
      <w:suppressAutoHyphens/>
      <w:autoSpaceDE w:val="0"/>
      <w:autoSpaceDN w:val="0"/>
      <w:adjustRightInd w:val="0"/>
      <w:spacing w:after="40" w:line="288" w:lineRule="auto"/>
      <w:jc w:val="both"/>
      <w:textAlignment w:val="center"/>
    </w:pPr>
    <w:rPr>
      <w:rFonts w:ascii="Calibri" w:eastAsia="Times New Roman" w:hAnsi="Calibri" w:cs="Calibri"/>
      <w:color w:val="000000"/>
      <w:lang w:eastAsia="it-IT"/>
    </w:rPr>
  </w:style>
  <w:style w:type="paragraph" w:styleId="Elenco2">
    <w:name w:val="List 2"/>
    <w:basedOn w:val="Normale"/>
    <w:semiHidden/>
    <w:pPr>
      <w:widowControl w:val="0"/>
      <w:numPr>
        <w:numId w:val="2"/>
      </w:numPr>
      <w:suppressAutoHyphens/>
      <w:autoSpaceDE w:val="0"/>
      <w:autoSpaceDN w:val="0"/>
      <w:adjustRightInd w:val="0"/>
      <w:spacing w:after="0" w:line="288" w:lineRule="auto"/>
      <w:jc w:val="both"/>
      <w:textAlignment w:val="center"/>
    </w:pPr>
    <w:rPr>
      <w:rFonts w:ascii="Calibri" w:eastAsia="Times New Roman" w:hAnsi="Calibri" w:cs="Calibri"/>
      <w:color w:val="000000"/>
      <w:sz w:val="24"/>
      <w:lang w:eastAsia="it-IT"/>
    </w:rPr>
  </w:style>
  <w:style w:type="paragraph" w:styleId="Testodelblocco">
    <w:name w:val="Block Text"/>
    <w:basedOn w:val="Normale"/>
    <w:semiHidden/>
    <w:pPr>
      <w:widowControl w:val="0"/>
      <w:suppressAutoHyphens/>
      <w:autoSpaceDE w:val="0"/>
      <w:autoSpaceDN w:val="0"/>
      <w:adjustRightInd w:val="0"/>
      <w:spacing w:before="60" w:after="0" w:line="288" w:lineRule="auto"/>
      <w:ind w:left="113" w:right="113"/>
      <w:jc w:val="center"/>
      <w:textAlignment w:val="center"/>
    </w:pPr>
    <w:rPr>
      <w:rFonts w:ascii="Calibri" w:eastAsia="Times New Roman" w:hAnsi="Calibri" w:cs="Calibri"/>
      <w:b/>
      <w:color w:val="000000"/>
      <w:lang w:eastAsia="it-IT"/>
    </w:rPr>
  </w:style>
  <w:style w:type="paragraph" w:styleId="Rientrocorpodeltesto">
    <w:name w:val="Body Text Indent"/>
    <w:basedOn w:val="Normale"/>
    <w:link w:val="RientrocorpodeltestoCarattere"/>
    <w:semiHidden/>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character" w:customStyle="1" w:styleId="RientrocorpodeltestoCarattere">
    <w:name w:val="Rientro corpo del testo Carattere"/>
    <w:basedOn w:val="Carpredefinitoparagrafo"/>
    <w:link w:val="Rientrocorpodeltesto"/>
    <w:semiHidden/>
    <w:rPr>
      <w:rFonts w:ascii="Calibri" w:eastAsia="Times New Roman" w:hAnsi="Calibri" w:cs="Calibri"/>
      <w:color w:val="000000"/>
      <w:lang w:eastAsia="it-IT"/>
    </w:rPr>
  </w:style>
  <w:style w:type="character" w:styleId="Rimandocommento">
    <w:name w:val="annotation reference"/>
    <w:uiPriority w:val="99"/>
    <w:semiHidden/>
    <w:unhideWhenUsed/>
    <w:rPr>
      <w:sz w:val="16"/>
      <w:szCs w:val="16"/>
    </w:rPr>
  </w:style>
  <w:style w:type="paragraph" w:styleId="Testocommento">
    <w:name w:val="annotation text"/>
    <w:basedOn w:val="Normale"/>
    <w:link w:val="TestocommentoCarattere"/>
    <w:uiPriority w:val="99"/>
    <w:semiHidden/>
    <w:unhideWhenUsed/>
    <w:pPr>
      <w:suppressAutoHyphens/>
      <w:autoSpaceDE w:val="0"/>
      <w:autoSpaceDN w:val="0"/>
      <w:adjustRightInd w:val="0"/>
      <w:spacing w:after="0" w:line="288" w:lineRule="auto"/>
      <w:textAlignment w:val="center"/>
    </w:pPr>
    <w:rPr>
      <w:rFonts w:ascii="Calibri" w:eastAsia="Calibri" w:hAnsi="Calibri" w:cs="Calibri"/>
      <w:color w:val="000000"/>
      <w:sz w:val="20"/>
      <w:szCs w:val="20"/>
      <w:lang w:eastAsia="it-IT"/>
    </w:rPr>
  </w:style>
  <w:style w:type="character" w:customStyle="1" w:styleId="TestocommentoCarattere">
    <w:name w:val="Testo commento Carattere"/>
    <w:basedOn w:val="Carpredefinitoparagrafo"/>
    <w:link w:val="Testocommento"/>
    <w:uiPriority w:val="99"/>
    <w:semiHidden/>
    <w:rPr>
      <w:rFonts w:ascii="Calibri" w:eastAsia="Calibri" w:hAnsi="Calibri" w:cs="Calibri"/>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Pr>
      <w:b/>
      <w:bCs/>
    </w:rPr>
  </w:style>
  <w:style w:type="character" w:customStyle="1" w:styleId="SoggettocommentoCarattere">
    <w:name w:val="Soggetto commento Carattere"/>
    <w:basedOn w:val="TestocommentoCarattere"/>
    <w:link w:val="Soggettocommento"/>
    <w:uiPriority w:val="99"/>
    <w:semiHidden/>
    <w:rPr>
      <w:rFonts w:ascii="Calibri" w:eastAsia="Calibri" w:hAnsi="Calibri" w:cs="Calibri"/>
      <w:b/>
      <w:bCs/>
      <w:color w:val="000000"/>
      <w:sz w:val="20"/>
      <w:szCs w:val="20"/>
      <w:lang w:eastAsia="it-IT"/>
    </w:rPr>
  </w:style>
  <w:style w:type="character" w:customStyle="1" w:styleId="ParagrafoelencoCarattere">
    <w:name w:val="Paragrafo elenco Carattere"/>
    <w:link w:val="Paragrafoelenco"/>
    <w:uiPriority w:val="1"/>
    <w:locked/>
  </w:style>
  <w:style w:type="paragraph" w:customStyle="1" w:styleId="Corpodeltesto214">
    <w:name w:val="Corpo del testo 214"/>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table" w:customStyle="1" w:styleId="Grigliatabella1">
    <w:name w:val="Griglia tabella1"/>
    <w:basedOn w:val="Tabellanormale"/>
    <w:next w:val="Grigliatabella"/>
    <w:uiPriority w:val="59"/>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rpodeltesto22">
    <w:name w:val="Corpo del testo 22"/>
    <w:basedOn w:val="Normale"/>
    <w:link w:val="Corpodeltesto22Caratter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customStyle="1" w:styleId="Corpodeltesto">
    <w:name w:val="Corpo del testo"/>
    <w:basedOn w:val="Normale"/>
    <w:semiHidden/>
    <w:pPr>
      <w:suppressAutoHyphens/>
      <w:autoSpaceDE w:val="0"/>
      <w:autoSpaceDN w:val="0"/>
      <w:adjustRightInd w:val="0"/>
      <w:spacing w:after="120" w:line="288" w:lineRule="auto"/>
      <w:textAlignment w:val="center"/>
    </w:pPr>
    <w:rPr>
      <w:rFonts w:ascii="Calibri" w:eastAsia="Calibri" w:hAnsi="Calibri" w:cs="Calibri"/>
      <w:color w:val="000000"/>
      <w:lang w:eastAsia="it-IT"/>
    </w:rPr>
  </w:style>
  <w:style w:type="paragraph" w:customStyle="1" w:styleId="Corpodeltesto220">
    <w:name w:val="Corpo del testo 220"/>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customStyle="1" w:styleId="Corpodeltesto25">
    <w:name w:val="Corpo del testo 25"/>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customStyle="1" w:styleId="Corpodeltesto26">
    <w:name w:val="Corpo del testo 26"/>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customStyle="1" w:styleId="Corpodeltesto227">
    <w:name w:val="Corpo del testo 227"/>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styleId="Corpodeltesto3">
    <w:name w:val="Body Text 3"/>
    <w:basedOn w:val="Normale"/>
    <w:link w:val="Corpodeltesto3Carattere"/>
    <w:uiPriority w:val="99"/>
    <w:unhideWhenUsed/>
    <w:pPr>
      <w:suppressAutoHyphens/>
      <w:autoSpaceDE w:val="0"/>
      <w:autoSpaceDN w:val="0"/>
      <w:adjustRightInd w:val="0"/>
      <w:spacing w:after="120" w:line="288" w:lineRule="auto"/>
      <w:textAlignment w:val="center"/>
    </w:pPr>
    <w:rPr>
      <w:rFonts w:ascii="Calibri" w:eastAsia="Calibri" w:hAnsi="Calibri" w:cs="Calibri"/>
      <w:color w:val="000000"/>
      <w:sz w:val="16"/>
      <w:szCs w:val="16"/>
      <w:lang w:eastAsia="it-IT"/>
    </w:rPr>
  </w:style>
  <w:style w:type="character" w:customStyle="1" w:styleId="Corpodeltesto3Carattere">
    <w:name w:val="Corpo del testo 3 Carattere"/>
    <w:basedOn w:val="Carpredefinitoparagrafo"/>
    <w:link w:val="Corpodeltesto3"/>
    <w:uiPriority w:val="99"/>
    <w:rPr>
      <w:rFonts w:ascii="Calibri" w:eastAsia="Calibri" w:hAnsi="Calibri" w:cs="Calibri"/>
      <w:color w:val="000000"/>
      <w:sz w:val="16"/>
      <w:szCs w:val="16"/>
      <w:lang w:eastAsia="it-IT"/>
    </w:rPr>
  </w:style>
  <w:style w:type="paragraph" w:customStyle="1" w:styleId="Corpodeltesto217">
    <w:name w:val="Corpo del testo 217"/>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customStyle="1" w:styleId="rientro">
    <w:name w:val="rientro"/>
    <w:basedOn w:val="Normale"/>
    <w:pPr>
      <w:suppressAutoHyphens/>
      <w:autoSpaceDE w:val="0"/>
      <w:autoSpaceDN w:val="0"/>
      <w:adjustRightInd w:val="0"/>
      <w:spacing w:before="100" w:beforeAutospacing="1" w:after="144" w:line="324" w:lineRule="atLeast"/>
      <w:textAlignment w:val="center"/>
    </w:pPr>
    <w:rPr>
      <w:rFonts w:ascii="sole_text" w:eastAsia="Times New Roman" w:hAnsi="sole_text" w:cs="Calibri"/>
      <w:color w:val="000000"/>
      <w:sz w:val="24"/>
      <w:szCs w:val="24"/>
      <w:lang w:eastAsia="it-IT"/>
    </w:rPr>
  </w:style>
  <w:style w:type="character" w:customStyle="1" w:styleId="Menzionenonrisolta">
    <w:name w:val="Menzione non risolta"/>
    <w:uiPriority w:val="99"/>
    <w:semiHidden/>
    <w:unhideWhenUsed/>
    <w:rPr>
      <w:color w:val="605E5C"/>
      <w:shd w:val="clear" w:color="auto" w:fill="E1DFDD"/>
    </w:rPr>
  </w:style>
  <w:style w:type="character" w:styleId="Collegamentovisitato">
    <w:name w:val="FollowedHyperlink"/>
    <w:uiPriority w:val="99"/>
    <w:semiHidden/>
    <w:unhideWhenUsed/>
    <w:rPr>
      <w:color w:val="954F72"/>
      <w:u w:val="single"/>
    </w:rPr>
  </w:style>
  <w:style w:type="paragraph" w:customStyle="1" w:styleId="TableText">
    <w:name w:val="Table Text"/>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after="0"/>
      <w:jc w:val="both"/>
    </w:pPr>
    <w:rPr>
      <w:rFonts w:cs="Arial"/>
    </w:rPr>
  </w:style>
  <w:style w:type="paragraph" w:customStyle="1" w:styleId="punto">
    <w:name w:val="punto"/>
    <w:basedOn w:val="Corpotesto"/>
    <w:link w:val="puntoCarattere"/>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before="17" w:after="17"/>
      <w:ind w:left="283" w:hanging="283"/>
      <w:jc w:val="both"/>
    </w:pPr>
    <w:rPr>
      <w:rFonts w:cs="Arial"/>
    </w:rPr>
  </w:style>
  <w:style w:type="character" w:customStyle="1" w:styleId="link">
    <w:name w:val="link"/>
    <w:uiPriority w:val="99"/>
    <w:rPr>
      <w:color w:val="0000FF"/>
      <w:u w:val="thick"/>
    </w:rPr>
  </w:style>
  <w:style w:type="paragraph" w:customStyle="1" w:styleId="Nessunostileparagrafo">
    <w:name w:val="[Nessuno stile paragrafo]"/>
    <w:pPr>
      <w:autoSpaceDE w:val="0"/>
      <w:autoSpaceDN w:val="0"/>
      <w:adjustRightInd w:val="0"/>
      <w:spacing w:after="0" w:line="288" w:lineRule="auto"/>
      <w:textAlignment w:val="center"/>
    </w:pPr>
    <w:rPr>
      <w:rFonts w:ascii="Times New Roman" w:eastAsia="Calibri" w:hAnsi="Times New Roman" w:cs="Times New Roman"/>
      <w:color w:val="000000"/>
      <w:sz w:val="24"/>
      <w:szCs w:val="24"/>
      <w:lang w:eastAsia="it-IT"/>
    </w:rPr>
  </w:style>
  <w:style w:type="paragraph" w:customStyle="1" w:styleId="Scadoggetto">
    <w:name w:val="Scad oggetto"/>
    <w:basedOn w:val="Nessunostileparagrafo"/>
    <w:uiPriority w:val="99"/>
    <w:pPr>
      <w:keepNext/>
      <w:suppressAutoHyphens/>
      <w:jc w:val="center"/>
    </w:pPr>
    <w:rPr>
      <w:rFonts w:ascii="Arial" w:hAnsi="Arial" w:cs="Arial"/>
      <w:b/>
      <w:bCs/>
      <w:smallCaps/>
      <w:sz w:val="20"/>
      <w:szCs w:val="20"/>
    </w:rPr>
  </w:style>
  <w:style w:type="paragraph" w:customStyle="1" w:styleId="Sintesi">
    <w:name w:val="Sintesi"/>
    <w:basedOn w:val="Nessunostileparagrafo"/>
    <w:uiPriority w:val="99"/>
    <w:pPr>
      <w:suppressAutoHyphens/>
      <w:spacing w:before="40" w:line="260" w:lineRule="atLeast"/>
      <w:ind w:left="289"/>
      <w:jc w:val="both"/>
    </w:pPr>
    <w:rPr>
      <w:rFonts w:ascii="Arial" w:hAnsi="Arial" w:cs="Arial"/>
      <w:i/>
      <w:iCs/>
      <w:sz w:val="22"/>
      <w:szCs w:val="22"/>
    </w:rPr>
  </w:style>
  <w:style w:type="paragraph" w:customStyle="1" w:styleId="Titoletto">
    <w:name w:val="Titoletto"/>
    <w:basedOn w:val="Nessunostileparagrafo"/>
    <w:uiPriority w:val="99"/>
    <w:pPr>
      <w:suppressAutoHyphens/>
      <w:jc w:val="center"/>
    </w:pPr>
    <w:rPr>
      <w:rFonts w:ascii="Arial" w:hAnsi="Arial" w:cs="Arial"/>
      <w:b/>
      <w:bCs/>
      <w:sz w:val="22"/>
      <w:szCs w:val="22"/>
    </w:rPr>
  </w:style>
  <w:style w:type="paragraph" w:customStyle="1" w:styleId="Scadtesto">
    <w:name w:val="Scad testo"/>
    <w:basedOn w:val="Nessunostileparagrafo"/>
    <w:uiPriority w:val="99"/>
    <w:pPr>
      <w:suppressAutoHyphens/>
      <w:jc w:val="both"/>
    </w:pPr>
    <w:rPr>
      <w:rFonts w:ascii="Arial" w:hAnsi="Arial" w:cs="Arial"/>
      <w:sz w:val="20"/>
      <w:szCs w:val="20"/>
    </w:rPr>
  </w:style>
  <w:style w:type="paragraph" w:customStyle="1" w:styleId="Titolo30">
    <w:name w:val="Titolo3"/>
    <w:basedOn w:val="Nessunostileparagrafo"/>
    <w:uiPriority w:val="99"/>
    <w:pPr>
      <w:suppressAutoHyphens/>
      <w:jc w:val="center"/>
    </w:pPr>
    <w:rPr>
      <w:rFonts w:ascii="Arial" w:hAnsi="Arial" w:cs="Arial"/>
      <w:b/>
      <w:bCs/>
      <w:sz w:val="22"/>
      <w:szCs w:val="22"/>
    </w:rPr>
  </w:style>
  <w:style w:type="paragraph" w:customStyle="1" w:styleId="R50">
    <w:name w:val="R50"/>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after="28"/>
      <w:ind w:left="283"/>
      <w:jc w:val="both"/>
    </w:pPr>
    <w:rPr>
      <w:rFonts w:ascii="Arial" w:hAnsi="Arial" w:cs="Arial"/>
    </w:rPr>
  </w:style>
  <w:style w:type="paragraph" w:customStyle="1" w:styleId="trattino500">
    <w:name w:val="trattino50"/>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before="17" w:after="28"/>
      <w:ind w:left="454" w:hanging="170"/>
      <w:jc w:val="both"/>
    </w:pPr>
    <w:rPr>
      <w:rFonts w:ascii="Arial" w:hAnsi="Arial" w:cs="Arial"/>
    </w:rPr>
  </w:style>
  <w:style w:type="paragraph" w:customStyle="1" w:styleId="trattino">
    <w:name w:val="trattino"/>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before="17" w:after="28"/>
      <w:ind w:left="283" w:hanging="283"/>
      <w:jc w:val="both"/>
    </w:pPr>
    <w:rPr>
      <w:rFonts w:ascii="Arial" w:hAnsi="Arial" w:cs="Arial"/>
    </w:rPr>
  </w:style>
  <w:style w:type="paragraph" w:customStyle="1" w:styleId="Estremo">
    <w:name w:val="Estremo"/>
    <w:basedOn w:val="Nessunostileparagrafo"/>
    <w:uiPriority w:val="99"/>
    <w:pPr>
      <w:tabs>
        <w:tab w:val="left" w:pos="2437"/>
        <w:tab w:val="right" w:pos="3304"/>
      </w:tabs>
      <w:suppressAutoHyphens/>
      <w:jc w:val="center"/>
    </w:pPr>
    <w:rPr>
      <w:rFonts w:ascii="Arial" w:hAnsi="Arial" w:cs="Arial"/>
      <w:b/>
      <w:bCs/>
      <w:i/>
      <w:iCs/>
      <w:w w:val="90"/>
    </w:rPr>
  </w:style>
  <w:style w:type="character" w:customStyle="1" w:styleId="A7">
    <w:name w:val="A7"/>
    <w:uiPriority w:val="99"/>
    <w:rPr>
      <w:color w:val="000000"/>
      <w:sz w:val="21"/>
      <w:szCs w:val="21"/>
    </w:rPr>
  </w:style>
  <w:style w:type="character" w:customStyle="1" w:styleId="A8">
    <w:name w:val="A8"/>
    <w:uiPriority w:val="99"/>
    <w:rPr>
      <w:color w:val="000000"/>
      <w:sz w:val="21"/>
      <w:szCs w:val="21"/>
    </w:rPr>
  </w:style>
  <w:style w:type="paragraph" w:customStyle="1" w:styleId="Pa24">
    <w:name w:val="Pa24"/>
    <w:basedOn w:val="Default"/>
    <w:next w:val="Default"/>
    <w:uiPriority w:val="99"/>
    <w:pPr>
      <w:spacing w:line="221" w:lineRule="atLeast"/>
    </w:pPr>
    <w:rPr>
      <w:rFonts w:eastAsia="Calibri"/>
      <w:color w:val="auto"/>
      <w:lang w:eastAsia="it-IT"/>
    </w:rPr>
  </w:style>
  <w:style w:type="paragraph" w:customStyle="1" w:styleId="Pa9">
    <w:name w:val="Pa9"/>
    <w:basedOn w:val="Default"/>
    <w:next w:val="Default"/>
    <w:uiPriority w:val="99"/>
    <w:pPr>
      <w:spacing w:line="221" w:lineRule="atLeast"/>
    </w:pPr>
    <w:rPr>
      <w:rFonts w:eastAsia="Calibri"/>
      <w:color w:val="auto"/>
      <w:lang w:eastAsia="it-IT"/>
    </w:rPr>
  </w:style>
  <w:style w:type="character" w:customStyle="1" w:styleId="A5">
    <w:name w:val="A5"/>
    <w:uiPriority w:val="99"/>
    <w:rPr>
      <w:color w:val="000000"/>
      <w:sz w:val="22"/>
      <w:szCs w:val="22"/>
      <w:u w:val="single"/>
    </w:rPr>
  </w:style>
  <w:style w:type="paragraph" w:customStyle="1" w:styleId="Pa14">
    <w:name w:val="Pa14"/>
    <w:basedOn w:val="Default"/>
    <w:next w:val="Default"/>
    <w:uiPriority w:val="99"/>
    <w:pPr>
      <w:spacing w:line="221" w:lineRule="atLeast"/>
    </w:pPr>
    <w:rPr>
      <w:rFonts w:eastAsia="Calibri"/>
      <w:color w:val="auto"/>
      <w:lang w:eastAsia="it-IT"/>
    </w:rPr>
  </w:style>
  <w:style w:type="paragraph" w:customStyle="1" w:styleId="Pa15">
    <w:name w:val="Pa15"/>
    <w:basedOn w:val="Default"/>
    <w:next w:val="Default"/>
    <w:uiPriority w:val="99"/>
    <w:pPr>
      <w:spacing w:line="221" w:lineRule="atLeast"/>
    </w:pPr>
    <w:rPr>
      <w:rFonts w:eastAsia="Calibri"/>
      <w:color w:val="auto"/>
      <w:lang w:eastAsia="it-IT"/>
    </w:rPr>
  </w:style>
  <w:style w:type="paragraph" w:customStyle="1" w:styleId="Pa10">
    <w:name w:val="Pa10"/>
    <w:basedOn w:val="Default"/>
    <w:next w:val="Default"/>
    <w:uiPriority w:val="99"/>
    <w:pPr>
      <w:spacing w:line="221" w:lineRule="atLeast"/>
    </w:pPr>
    <w:rPr>
      <w:rFonts w:eastAsia="Calibri"/>
      <w:color w:val="auto"/>
      <w:lang w:eastAsia="it-IT"/>
    </w:rPr>
  </w:style>
  <w:style w:type="paragraph" w:customStyle="1" w:styleId="Pa27">
    <w:name w:val="Pa27"/>
    <w:basedOn w:val="Default"/>
    <w:next w:val="Default"/>
    <w:uiPriority w:val="99"/>
    <w:pPr>
      <w:spacing w:line="221" w:lineRule="atLeast"/>
    </w:pPr>
    <w:rPr>
      <w:rFonts w:eastAsia="Calibri"/>
      <w:color w:val="auto"/>
      <w:lang w:eastAsia="it-IT"/>
    </w:rPr>
  </w:style>
  <w:style w:type="character" w:customStyle="1" w:styleId="A0">
    <w:name w:val="A0"/>
    <w:uiPriority w:val="99"/>
    <w:rPr>
      <w:color w:val="000000"/>
      <w:sz w:val="20"/>
      <w:szCs w:val="20"/>
    </w:rPr>
  </w:style>
  <w:style w:type="paragraph" w:customStyle="1" w:styleId="Pa6">
    <w:name w:val="Pa6"/>
    <w:basedOn w:val="Default"/>
    <w:next w:val="Default"/>
    <w:uiPriority w:val="99"/>
    <w:pPr>
      <w:spacing w:line="221" w:lineRule="atLeast"/>
    </w:pPr>
    <w:rPr>
      <w:rFonts w:eastAsia="Calibri"/>
      <w:color w:val="auto"/>
      <w:lang w:eastAsia="it-IT"/>
    </w:rPr>
  </w:style>
  <w:style w:type="character" w:customStyle="1" w:styleId="A6">
    <w:name w:val="A6"/>
    <w:uiPriority w:val="99"/>
    <w:rPr>
      <w:rFonts w:ascii="ZapfDingbats BT" w:hAnsi="ZapfDingbats BT" w:cs="ZapfDingbats BT"/>
      <w:color w:val="000000"/>
      <w:sz w:val="10"/>
      <w:szCs w:val="10"/>
    </w:rPr>
  </w:style>
  <w:style w:type="paragraph" w:customStyle="1" w:styleId="Pa8">
    <w:name w:val="Pa8"/>
    <w:basedOn w:val="Default"/>
    <w:next w:val="Default"/>
    <w:uiPriority w:val="99"/>
    <w:pPr>
      <w:spacing w:line="221" w:lineRule="atLeast"/>
    </w:pPr>
    <w:rPr>
      <w:rFonts w:eastAsia="Calibri"/>
      <w:color w:val="auto"/>
      <w:lang w:eastAsia="it-IT"/>
    </w:rPr>
  </w:style>
  <w:style w:type="paragraph" w:customStyle="1" w:styleId="Pa18">
    <w:name w:val="Pa18"/>
    <w:basedOn w:val="Default"/>
    <w:next w:val="Default"/>
    <w:uiPriority w:val="99"/>
    <w:pPr>
      <w:spacing w:line="221" w:lineRule="atLeast"/>
    </w:pPr>
    <w:rPr>
      <w:rFonts w:eastAsia="Calibri"/>
      <w:color w:val="auto"/>
      <w:lang w:eastAsia="it-IT"/>
    </w:rPr>
  </w:style>
  <w:style w:type="paragraph" w:customStyle="1" w:styleId="Pa23">
    <w:name w:val="Pa23"/>
    <w:basedOn w:val="Default"/>
    <w:next w:val="Default"/>
    <w:uiPriority w:val="99"/>
    <w:pPr>
      <w:spacing w:line="221" w:lineRule="atLeast"/>
    </w:pPr>
    <w:rPr>
      <w:rFonts w:eastAsia="Calibri"/>
      <w:color w:val="auto"/>
      <w:lang w:eastAsia="it-IT"/>
    </w:rPr>
  </w:style>
  <w:style w:type="paragraph" w:customStyle="1" w:styleId="Pa25">
    <w:name w:val="Pa25"/>
    <w:basedOn w:val="Default"/>
    <w:next w:val="Default"/>
    <w:uiPriority w:val="99"/>
    <w:pPr>
      <w:spacing w:line="221" w:lineRule="atLeast"/>
    </w:pPr>
    <w:rPr>
      <w:rFonts w:eastAsia="Calibri"/>
      <w:color w:val="auto"/>
      <w:lang w:eastAsia="it-IT"/>
    </w:rPr>
  </w:style>
  <w:style w:type="character" w:customStyle="1" w:styleId="A9">
    <w:name w:val="A9"/>
    <w:uiPriority w:val="99"/>
    <w:rPr>
      <w:color w:val="000000"/>
      <w:sz w:val="21"/>
      <w:szCs w:val="21"/>
    </w:rPr>
  </w:style>
  <w:style w:type="paragraph" w:customStyle="1" w:styleId="Pa36">
    <w:name w:val="Pa36"/>
    <w:basedOn w:val="Default"/>
    <w:next w:val="Default"/>
    <w:uiPriority w:val="99"/>
    <w:pPr>
      <w:spacing w:line="241" w:lineRule="atLeast"/>
    </w:pPr>
    <w:rPr>
      <w:rFonts w:eastAsia="Calibri"/>
      <w:color w:val="auto"/>
      <w:lang w:eastAsia="it-IT"/>
    </w:rPr>
  </w:style>
  <w:style w:type="character" w:customStyle="1" w:styleId="A2">
    <w:name w:val="A2"/>
    <w:uiPriority w:val="99"/>
    <w:rPr>
      <w:color w:val="000000"/>
      <w:sz w:val="22"/>
      <w:szCs w:val="22"/>
    </w:rPr>
  </w:style>
  <w:style w:type="character" w:customStyle="1" w:styleId="A4">
    <w:name w:val="A4"/>
    <w:uiPriority w:val="99"/>
    <w:rPr>
      <w:rFonts w:ascii="Arial Narrow" w:hAnsi="Arial Narrow" w:cs="Arial Narrow"/>
      <w:color w:val="000000"/>
      <w:sz w:val="22"/>
      <w:szCs w:val="22"/>
    </w:rPr>
  </w:style>
  <w:style w:type="character" w:customStyle="1" w:styleId="A11">
    <w:name w:val="A11"/>
    <w:uiPriority w:val="99"/>
    <w:rPr>
      <w:color w:val="000000"/>
      <w:sz w:val="21"/>
      <w:szCs w:val="21"/>
    </w:rPr>
  </w:style>
  <w:style w:type="paragraph" w:customStyle="1" w:styleId="Pa45">
    <w:name w:val="Pa45"/>
    <w:basedOn w:val="Default"/>
    <w:next w:val="Default"/>
    <w:uiPriority w:val="99"/>
    <w:pPr>
      <w:spacing w:line="221" w:lineRule="atLeast"/>
    </w:pPr>
    <w:rPr>
      <w:rFonts w:eastAsia="Calibri"/>
      <w:color w:val="auto"/>
      <w:lang w:eastAsia="it-IT"/>
    </w:rPr>
  </w:style>
  <w:style w:type="paragraph" w:customStyle="1" w:styleId="Pa11">
    <w:name w:val="Pa11"/>
    <w:basedOn w:val="Default"/>
    <w:next w:val="Default"/>
    <w:uiPriority w:val="99"/>
    <w:pPr>
      <w:spacing w:line="221" w:lineRule="atLeast"/>
    </w:pPr>
    <w:rPr>
      <w:rFonts w:eastAsia="Calibri"/>
      <w:color w:val="auto"/>
      <w:lang w:eastAsia="it-IT"/>
    </w:rPr>
  </w:style>
  <w:style w:type="paragraph" w:customStyle="1" w:styleId="Pa19">
    <w:name w:val="Pa19"/>
    <w:basedOn w:val="Default"/>
    <w:next w:val="Default"/>
    <w:uiPriority w:val="99"/>
    <w:pPr>
      <w:spacing w:line="221" w:lineRule="atLeast"/>
    </w:pPr>
    <w:rPr>
      <w:rFonts w:eastAsia="Calibri"/>
      <w:color w:val="auto"/>
      <w:lang w:eastAsia="it-IT"/>
    </w:rPr>
  </w:style>
  <w:style w:type="paragraph" w:customStyle="1" w:styleId="Pa22">
    <w:name w:val="Pa22"/>
    <w:basedOn w:val="Default"/>
    <w:next w:val="Default"/>
    <w:uiPriority w:val="99"/>
    <w:pPr>
      <w:spacing w:line="221" w:lineRule="atLeast"/>
    </w:pPr>
    <w:rPr>
      <w:rFonts w:eastAsia="Calibri"/>
      <w:color w:val="auto"/>
      <w:lang w:eastAsia="it-IT"/>
    </w:rPr>
  </w:style>
  <w:style w:type="paragraph" w:customStyle="1" w:styleId="Sintesitrattino">
    <w:name w:val="Sintesi trattino"/>
    <w:basedOn w:val="Nessunostileparagrafo"/>
    <w:uiPriority w:val="99"/>
    <w:pPr>
      <w:suppressAutoHyphens/>
      <w:spacing w:before="20" w:line="260" w:lineRule="atLeast"/>
      <w:ind w:left="573" w:hanging="295"/>
      <w:jc w:val="both"/>
    </w:pPr>
    <w:rPr>
      <w:rFonts w:ascii="Arial" w:hAnsi="Arial" w:cs="Arial"/>
      <w:i/>
      <w:iCs/>
      <w:sz w:val="22"/>
      <w:szCs w:val="22"/>
    </w:rPr>
  </w:style>
  <w:style w:type="paragraph" w:customStyle="1" w:styleId="Titolo50">
    <w:name w:val="Titolo5"/>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before="170" w:after="28"/>
      <w:jc w:val="both"/>
    </w:pPr>
    <w:rPr>
      <w:rFonts w:ascii="Arial" w:hAnsi="Arial" w:cs="Arial"/>
      <w:b/>
      <w:bCs/>
      <w:i/>
      <w:iCs/>
      <w:sz w:val="24"/>
      <w:szCs w:val="24"/>
    </w:rPr>
  </w:style>
  <w:style w:type="paragraph" w:styleId="Nessunaspaziatura">
    <w:name w:val="No Spacing"/>
    <w:uiPriority w:val="1"/>
    <w:pPr>
      <w:suppressAutoHyphens/>
      <w:autoSpaceDE w:val="0"/>
      <w:autoSpaceDN w:val="0"/>
      <w:adjustRightInd w:val="0"/>
      <w:spacing w:after="0" w:line="240" w:lineRule="auto"/>
      <w:textAlignment w:val="center"/>
    </w:pPr>
    <w:rPr>
      <w:rFonts w:ascii="Calibri" w:eastAsia="Calibri" w:hAnsi="Calibri" w:cs="Calibri"/>
      <w:color w:val="000000"/>
      <w:lang w:eastAsia="it-IT"/>
    </w:rPr>
  </w:style>
  <w:style w:type="paragraph" w:customStyle="1" w:styleId="Titolo40">
    <w:name w:val="Titolo4"/>
    <w:basedOn w:val="Titolo30"/>
    <w:uiPriority w:val="99"/>
    <w:pPr>
      <w:pBdr>
        <w:bottom w:val="single" w:sz="12" w:space="2" w:color="000000"/>
      </w:pBdr>
      <w:spacing w:before="170" w:after="85"/>
      <w:jc w:val="left"/>
    </w:pPr>
    <w:rPr>
      <w:caps/>
    </w:rPr>
  </w:style>
  <w:style w:type="paragraph" w:customStyle="1" w:styleId="Pa16">
    <w:name w:val="Pa16"/>
    <w:basedOn w:val="Default"/>
    <w:next w:val="Default"/>
    <w:uiPriority w:val="99"/>
    <w:pPr>
      <w:spacing w:line="221" w:lineRule="atLeast"/>
    </w:pPr>
    <w:rPr>
      <w:rFonts w:eastAsia="Calibri"/>
      <w:color w:val="auto"/>
      <w:lang w:eastAsia="it-IT"/>
    </w:rPr>
  </w:style>
  <w:style w:type="paragraph" w:customStyle="1" w:styleId="Pa13">
    <w:name w:val="Pa13"/>
    <w:basedOn w:val="Default"/>
    <w:next w:val="Default"/>
    <w:uiPriority w:val="99"/>
    <w:pPr>
      <w:spacing w:line="221" w:lineRule="atLeast"/>
    </w:pPr>
    <w:rPr>
      <w:rFonts w:eastAsia="Calibri"/>
      <w:color w:val="auto"/>
      <w:lang w:eastAsia="it-IT"/>
    </w:rPr>
  </w:style>
  <w:style w:type="paragraph" w:customStyle="1" w:styleId="Pa12">
    <w:name w:val="Pa12"/>
    <w:basedOn w:val="Default"/>
    <w:next w:val="Default"/>
    <w:uiPriority w:val="99"/>
    <w:pPr>
      <w:spacing w:line="221" w:lineRule="atLeast"/>
    </w:pPr>
    <w:rPr>
      <w:rFonts w:eastAsia="Calibri"/>
      <w:color w:val="auto"/>
      <w:lang w:eastAsia="it-IT"/>
    </w:rPr>
  </w:style>
  <w:style w:type="paragraph" w:customStyle="1" w:styleId="Pa17">
    <w:name w:val="Pa17"/>
    <w:basedOn w:val="Default"/>
    <w:next w:val="Default"/>
    <w:uiPriority w:val="99"/>
    <w:pPr>
      <w:spacing w:line="221" w:lineRule="atLeast"/>
    </w:pPr>
    <w:rPr>
      <w:rFonts w:eastAsia="Calibri"/>
      <w:color w:val="auto"/>
      <w:lang w:eastAsia="it-IT"/>
    </w:rPr>
  </w:style>
  <w:style w:type="paragraph" w:customStyle="1" w:styleId="Pa21">
    <w:name w:val="Pa21"/>
    <w:basedOn w:val="Default"/>
    <w:next w:val="Default"/>
    <w:uiPriority w:val="99"/>
    <w:pPr>
      <w:spacing w:line="221" w:lineRule="atLeast"/>
    </w:pPr>
    <w:rPr>
      <w:rFonts w:eastAsia="Calibri"/>
      <w:color w:val="auto"/>
      <w:lang w:eastAsia="it-IT"/>
    </w:rPr>
  </w:style>
  <w:style w:type="paragraph" w:styleId="Didascalia">
    <w:name w:val="caption"/>
    <w:basedOn w:val="Normale"/>
    <w:next w:val="Normale"/>
    <w:qFormat/>
    <w:pPr>
      <w:spacing w:after="0" w:line="240" w:lineRule="auto"/>
    </w:pPr>
    <w:rPr>
      <w:rFonts w:ascii="Arial Narrow" w:eastAsia="Times New Roman" w:hAnsi="Arial Narrow" w:cs="Times New Roman"/>
      <w:b/>
      <w:i/>
      <w:sz w:val="20"/>
      <w:szCs w:val="24"/>
      <w:lang w:eastAsia="it-IT"/>
    </w:rPr>
  </w:style>
  <w:style w:type="paragraph" w:customStyle="1" w:styleId="Corpodeltesto23">
    <w:name w:val="Corpo del testo 23"/>
    <w:basedOn w:val="Normale"/>
    <w:pPr>
      <w:widowControl w:val="0"/>
      <w:spacing w:after="0" w:line="240" w:lineRule="auto"/>
      <w:jc w:val="both"/>
    </w:pPr>
    <w:rPr>
      <w:rFonts w:ascii="Arial" w:eastAsia="Times New Roman" w:hAnsi="Arial" w:cs="Times New Roman"/>
    </w:rPr>
  </w:style>
  <w:style w:type="paragraph" w:customStyle="1" w:styleId="Pa28">
    <w:name w:val="Pa28"/>
    <w:basedOn w:val="Default"/>
    <w:next w:val="Default"/>
    <w:uiPriority w:val="99"/>
    <w:pPr>
      <w:spacing w:line="221" w:lineRule="atLeast"/>
    </w:pPr>
    <w:rPr>
      <w:rFonts w:eastAsia="Calibri"/>
      <w:color w:val="auto"/>
      <w:lang w:eastAsia="it-IT"/>
    </w:rPr>
  </w:style>
  <w:style w:type="paragraph" w:customStyle="1" w:styleId="Scadgiorno">
    <w:name w:val="Scad giorno"/>
    <w:basedOn w:val="Nessunostileparagrafo"/>
    <w:uiPriority w:val="99"/>
    <w:pPr>
      <w:suppressAutoHyphens/>
      <w:spacing w:before="20" w:after="20"/>
      <w:jc w:val="center"/>
    </w:pPr>
    <w:rPr>
      <w:rFonts w:ascii="Arial" w:hAnsi="Arial" w:cs="Arial"/>
      <w:b/>
      <w:bCs/>
      <w:i/>
      <w:iCs/>
    </w:rPr>
  </w:style>
  <w:style w:type="paragraph" w:customStyle="1" w:styleId="Pa5">
    <w:name w:val="Pa5"/>
    <w:basedOn w:val="Default"/>
    <w:next w:val="Default"/>
    <w:uiPriority w:val="99"/>
    <w:pPr>
      <w:spacing w:line="221" w:lineRule="atLeast"/>
    </w:pPr>
    <w:rPr>
      <w:rFonts w:eastAsia="Calibri"/>
      <w:color w:val="auto"/>
      <w:lang w:eastAsia="it-IT"/>
    </w:rPr>
  </w:style>
  <w:style w:type="character" w:customStyle="1" w:styleId="A3">
    <w:name w:val="A3"/>
    <w:uiPriority w:val="99"/>
    <w:rPr>
      <w:color w:val="000000"/>
      <w:sz w:val="20"/>
      <w:szCs w:val="20"/>
      <w:u w:val="single"/>
    </w:rPr>
  </w:style>
  <w:style w:type="paragraph" w:customStyle="1" w:styleId="Pa20">
    <w:name w:val="Pa20"/>
    <w:basedOn w:val="Default"/>
    <w:next w:val="Default"/>
    <w:uiPriority w:val="99"/>
    <w:pPr>
      <w:spacing w:line="221" w:lineRule="atLeast"/>
    </w:pPr>
    <w:rPr>
      <w:rFonts w:eastAsia="Calibri"/>
      <w:color w:val="auto"/>
      <w:lang w:eastAsia="it-IT"/>
    </w:rPr>
  </w:style>
  <w:style w:type="paragraph" w:customStyle="1" w:styleId="Pa29">
    <w:name w:val="Pa29"/>
    <w:basedOn w:val="Default"/>
    <w:next w:val="Default"/>
    <w:uiPriority w:val="99"/>
    <w:pPr>
      <w:spacing w:line="221" w:lineRule="atLeast"/>
    </w:pPr>
    <w:rPr>
      <w:rFonts w:eastAsia="Calibri"/>
      <w:color w:val="auto"/>
      <w:lang w:eastAsia="it-IT"/>
    </w:rPr>
  </w:style>
  <w:style w:type="paragraph" w:customStyle="1" w:styleId="Pa30">
    <w:name w:val="Pa30"/>
    <w:basedOn w:val="Default"/>
    <w:next w:val="Default"/>
    <w:uiPriority w:val="99"/>
    <w:pPr>
      <w:spacing w:line="221" w:lineRule="atLeast"/>
    </w:pPr>
    <w:rPr>
      <w:rFonts w:eastAsia="Calibri"/>
      <w:color w:val="auto"/>
      <w:lang w:eastAsia="it-IT"/>
    </w:rPr>
  </w:style>
  <w:style w:type="paragraph" w:customStyle="1" w:styleId="Pa33">
    <w:name w:val="Pa33"/>
    <w:basedOn w:val="Default"/>
    <w:next w:val="Default"/>
    <w:uiPriority w:val="99"/>
    <w:pPr>
      <w:spacing w:line="221" w:lineRule="atLeast"/>
    </w:pPr>
    <w:rPr>
      <w:rFonts w:eastAsia="Calibri"/>
      <w:color w:val="auto"/>
      <w:lang w:eastAsia="it-IT"/>
    </w:rPr>
  </w:style>
  <w:style w:type="paragraph" w:customStyle="1" w:styleId="Pa2">
    <w:name w:val="Pa2"/>
    <w:basedOn w:val="Default"/>
    <w:next w:val="Default"/>
    <w:uiPriority w:val="99"/>
    <w:pPr>
      <w:spacing w:line="221" w:lineRule="atLeast"/>
    </w:pPr>
    <w:rPr>
      <w:rFonts w:eastAsia="Calibri"/>
      <w:color w:val="auto"/>
      <w:lang w:eastAsia="it-IT"/>
    </w:rPr>
  </w:style>
  <w:style w:type="paragraph" w:customStyle="1" w:styleId="Titolo20">
    <w:name w:val="Titolo2"/>
    <w:basedOn w:val="Nessunostileparagrafo"/>
    <w:uiPriority w:val="99"/>
    <w:pPr>
      <w:keepNext/>
      <w:suppressAutoHyphens/>
      <w:ind w:left="14" w:firstLine="14"/>
      <w:jc w:val="center"/>
    </w:pPr>
    <w:rPr>
      <w:rFonts w:ascii="Arial" w:hAnsi="Arial" w:cs="Arial"/>
      <w:b/>
      <w:bCs/>
      <w:spacing w:val="-2"/>
      <w:sz w:val="28"/>
      <w:szCs w:val="28"/>
    </w:rPr>
  </w:style>
  <w:style w:type="paragraph" w:customStyle="1" w:styleId="Pa7">
    <w:name w:val="Pa7"/>
    <w:basedOn w:val="Default"/>
    <w:next w:val="Default"/>
    <w:uiPriority w:val="99"/>
    <w:pPr>
      <w:spacing w:line="221" w:lineRule="atLeast"/>
    </w:pPr>
    <w:rPr>
      <w:rFonts w:eastAsia="Calibri"/>
      <w:color w:val="auto"/>
      <w:lang w:eastAsia="it-IT"/>
    </w:rPr>
  </w:style>
  <w:style w:type="character" w:customStyle="1" w:styleId="A1">
    <w:name w:val="A1"/>
    <w:uiPriority w:val="99"/>
    <w:rPr>
      <w:color w:val="000000"/>
      <w:sz w:val="22"/>
      <w:szCs w:val="22"/>
    </w:rPr>
  </w:style>
  <w:style w:type="paragraph" w:customStyle="1" w:styleId="Schemacentrato">
    <w:name w:val="Schema centrato"/>
    <w:basedOn w:val="Nessunostileparagrafo"/>
    <w:uiPriority w:val="99"/>
    <w:pPr>
      <w:suppressAutoHyphens/>
      <w:spacing w:line="220" w:lineRule="atLeast"/>
      <w:jc w:val="center"/>
    </w:pPr>
    <w:rPr>
      <w:rFonts w:ascii="MyriadPro-Regular" w:hAnsi="MyriadPro-Regular" w:cs="MyriadPro-Regular"/>
      <w:sz w:val="18"/>
      <w:szCs w:val="18"/>
    </w:rPr>
  </w:style>
  <w:style w:type="paragraph" w:customStyle="1" w:styleId="Tab-Tit">
    <w:name w:val="Tab-Tit"/>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before="40" w:after="40"/>
      <w:jc w:val="center"/>
    </w:pPr>
    <w:rPr>
      <w:rFonts w:ascii="Arial" w:hAnsi="Arial" w:cs="Arial"/>
      <w:b/>
      <w:bCs/>
    </w:rPr>
  </w:style>
  <w:style w:type="paragraph" w:customStyle="1" w:styleId="TableText-c">
    <w:name w:val="Table Text-c"/>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after="0"/>
      <w:jc w:val="center"/>
    </w:pPr>
    <w:rPr>
      <w:rFonts w:ascii="Arial" w:hAnsi="Arial" w:cs="Arial"/>
    </w:rPr>
  </w:style>
  <w:style w:type="paragraph" w:styleId="Sottotitolo">
    <w:name w:val="Subtitle"/>
    <w:basedOn w:val="Normale"/>
    <w:next w:val="Normale"/>
    <w:link w:val="SottotitoloCarattere"/>
    <w:uiPriority w:val="11"/>
    <w:pPr>
      <w:suppressAutoHyphens/>
      <w:autoSpaceDE w:val="0"/>
      <w:autoSpaceDN w:val="0"/>
      <w:adjustRightInd w:val="0"/>
      <w:spacing w:after="60" w:line="288" w:lineRule="auto"/>
      <w:jc w:val="center"/>
      <w:textAlignment w:val="center"/>
      <w:outlineLvl w:val="1"/>
    </w:pPr>
    <w:rPr>
      <w:rFonts w:ascii="Calibri Light" w:eastAsia="Times New Roman" w:hAnsi="Calibri Light" w:cs="Times New Roman"/>
      <w:color w:val="000000"/>
      <w:sz w:val="24"/>
      <w:szCs w:val="24"/>
      <w:lang w:eastAsia="it-IT"/>
    </w:rPr>
  </w:style>
  <w:style w:type="character" w:customStyle="1" w:styleId="SottotitoloCarattere">
    <w:name w:val="Sottotitolo Carattere"/>
    <w:basedOn w:val="Carpredefinitoparagrafo"/>
    <w:link w:val="Sottotitolo"/>
    <w:uiPriority w:val="11"/>
    <w:rPr>
      <w:rFonts w:ascii="Calibri Light" w:eastAsia="Times New Roman" w:hAnsi="Calibri Light" w:cs="Times New Roman"/>
      <w:color w:val="000000"/>
      <w:sz w:val="24"/>
      <w:szCs w:val="24"/>
      <w:lang w:eastAsia="it-IT"/>
    </w:rPr>
  </w:style>
  <w:style w:type="table" w:customStyle="1" w:styleId="TableNormal">
    <w:name w:val="Table Normal"/>
    <w:uiPriority w:val="2"/>
    <w:semiHidden/>
    <w:unhideWhenUsed/>
    <w:qFormat/>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pPr>
      <w:widowControl w:val="0"/>
      <w:autoSpaceDE w:val="0"/>
      <w:autoSpaceDN w:val="0"/>
      <w:spacing w:after="0" w:line="240" w:lineRule="auto"/>
    </w:pPr>
    <w:rPr>
      <w:rFonts w:ascii="Arial MT" w:eastAsia="Arial MT" w:hAnsi="Arial MT" w:cs="Arial MT"/>
    </w:rPr>
  </w:style>
  <w:style w:type="paragraph" w:customStyle="1" w:styleId="Pa1">
    <w:name w:val="Pa1"/>
    <w:basedOn w:val="Default"/>
    <w:next w:val="Default"/>
    <w:uiPriority w:val="99"/>
    <w:pPr>
      <w:spacing w:line="221" w:lineRule="atLeast"/>
    </w:pPr>
    <w:rPr>
      <w:rFonts w:eastAsia="Calibri"/>
      <w:color w:val="auto"/>
      <w:lang w:eastAsia="it-IT"/>
    </w:rPr>
  </w:style>
  <w:style w:type="character" w:customStyle="1" w:styleId="ding5">
    <w:name w:val="ding5"/>
    <w:uiPriority w:val="99"/>
    <w:rPr>
      <w:rFonts w:ascii="ZapfDingbatsITCbyBT-Regular" w:hAnsi="ZapfDingbatsITCbyBT-Regular" w:cs="ZapfDingbatsITCbyBT-Regular"/>
      <w:position w:val="4"/>
      <w:sz w:val="10"/>
      <w:szCs w:val="10"/>
    </w:rPr>
  </w:style>
  <w:style w:type="character" w:customStyle="1" w:styleId="quadratino">
    <w:name w:val="quadratino"/>
    <w:uiPriority w:val="99"/>
    <w:rPr>
      <w:rFonts w:ascii="Wingdings" w:hAnsi="Wingdings" w:cs="Wingdings"/>
    </w:rPr>
  </w:style>
  <w:style w:type="paragraph" w:customStyle="1" w:styleId="6p0">
    <w:name w:val="6p"/>
    <w:basedOn w:val="Nessunostileparagrafo"/>
    <w:uiPriority w:val="99"/>
    <w:pPr>
      <w:suppressAutoHyphens/>
      <w:spacing w:line="100" w:lineRule="atLeast"/>
    </w:pPr>
    <w:rPr>
      <w:rFonts w:ascii="Book Antiqua" w:hAnsi="Book Antiqua" w:cs="Book Antiqua"/>
      <w:sz w:val="10"/>
      <w:szCs w:val="10"/>
    </w:rPr>
  </w:style>
  <w:style w:type="paragraph" w:customStyle="1" w:styleId="end">
    <w:name w:val="end"/>
    <w:basedOn w:val="Nessunostileparagrafo"/>
    <w:uiPriority w:val="99"/>
    <w:pPr>
      <w:suppressAutoHyphens/>
      <w:jc w:val="both"/>
    </w:pPr>
    <w:rPr>
      <w:rFonts w:ascii="Wingdings" w:hAnsi="Wingdings" w:cs="Wingdings"/>
      <w:sz w:val="22"/>
      <w:szCs w:val="22"/>
    </w:rPr>
  </w:style>
  <w:style w:type="numbering" w:customStyle="1" w:styleId="a">
    <w:name w:val="a)"/>
    <w:uiPriority w:val="99"/>
    <w:pPr>
      <w:numPr>
        <w:numId w:val="3"/>
      </w:numPr>
    </w:pPr>
  </w:style>
  <w:style w:type="paragraph" w:customStyle="1" w:styleId="Riferimenti0">
    <w:name w:val="Riferimenti"/>
    <w:basedOn w:val="Nessunostileparagrafo"/>
    <w:uiPriority w:val="99"/>
    <w:pPr>
      <w:suppressAutoHyphens/>
      <w:ind w:left="529" w:hanging="245"/>
      <w:jc w:val="both"/>
    </w:pPr>
    <w:rPr>
      <w:rFonts w:ascii="Arial" w:hAnsi="Arial" w:cs="Arial"/>
      <w:b/>
      <w:bCs/>
      <w:sz w:val="22"/>
      <w:szCs w:val="22"/>
      <w:lang w:val="de-DE"/>
    </w:rPr>
  </w:style>
  <w:style w:type="paragraph" w:customStyle="1" w:styleId="Pa3">
    <w:name w:val="Pa3"/>
    <w:basedOn w:val="Default"/>
    <w:next w:val="Default"/>
    <w:uiPriority w:val="99"/>
    <w:pPr>
      <w:spacing w:line="221" w:lineRule="atLeast"/>
    </w:pPr>
    <w:rPr>
      <w:rFonts w:eastAsia="Calibri"/>
      <w:color w:val="auto"/>
      <w:lang w:eastAsia="it-IT"/>
    </w:rPr>
  </w:style>
  <w:style w:type="paragraph" w:customStyle="1" w:styleId="TITOLOMANFREDI">
    <w:name w:val="TITOLO MANFREDI"/>
    <w:basedOn w:val="Normale"/>
    <w:uiPriority w:val="99"/>
    <w:qFormat/>
    <w:pPr>
      <w:keepNext/>
      <w:widowControl w:val="0"/>
      <w:pBdr>
        <w:bottom w:val="single" w:sz="18" w:space="1" w:color="C0C0C0"/>
      </w:pBdr>
      <w:suppressAutoHyphens/>
      <w:autoSpaceDE w:val="0"/>
      <w:autoSpaceDN w:val="0"/>
      <w:adjustRightInd w:val="0"/>
      <w:spacing w:before="240" w:after="60" w:line="240" w:lineRule="auto"/>
      <w:jc w:val="center"/>
      <w:textAlignment w:val="center"/>
      <w:outlineLvl w:val="1"/>
    </w:pPr>
    <w:rPr>
      <w:rFonts w:ascii="Arial" w:eastAsia="Calibri" w:hAnsi="Arial" w:cs="Arial"/>
      <w:b/>
      <w:color w:val="000000"/>
      <w:lang w:eastAsia="it-IT"/>
    </w:rPr>
  </w:style>
  <w:style w:type="paragraph" w:customStyle="1" w:styleId="Puntoni">
    <w:name w:val="Puntoni"/>
    <w:basedOn w:val="punto"/>
    <w:link w:val="PuntoniCarattere"/>
    <w:uiPriority w:val="99"/>
    <w:qFormat/>
    <w:pPr>
      <w:numPr>
        <w:numId w:val="6"/>
      </w:numPr>
      <w:tabs>
        <w:tab w:val="clear" w:pos="283"/>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 w:val="clear" w:pos="5386"/>
        <w:tab w:val="clear" w:pos="5669"/>
        <w:tab w:val="clear" w:pos="5953"/>
        <w:tab w:val="clear" w:pos="6236"/>
        <w:tab w:val="clear" w:pos="6520"/>
        <w:tab w:val="clear" w:pos="6803"/>
        <w:tab w:val="clear" w:pos="7087"/>
        <w:tab w:val="clear" w:pos="7370"/>
        <w:tab w:val="clear" w:pos="7654"/>
        <w:tab w:val="clear" w:pos="7937"/>
        <w:tab w:val="clear" w:pos="8220"/>
        <w:tab w:val="clear" w:pos="8504"/>
        <w:tab w:val="clear" w:pos="8787"/>
        <w:tab w:val="clear" w:pos="9071"/>
        <w:tab w:val="clear" w:pos="9354"/>
      </w:tabs>
      <w:spacing w:before="30" w:after="0" w:line="240" w:lineRule="auto"/>
    </w:pPr>
    <w:rPr>
      <w:rFonts w:ascii="Arial" w:hAnsi="Arial"/>
      <w:bCs/>
    </w:rPr>
  </w:style>
  <w:style w:type="paragraph" w:customStyle="1" w:styleId="Trattino50">
    <w:name w:val="Trattino50"/>
    <w:basedOn w:val="Normale"/>
    <w:uiPriority w:val="99"/>
    <w:qFormat/>
    <w:pPr>
      <w:numPr>
        <w:ilvl w:val="1"/>
        <w:numId w:val="4"/>
      </w:numPr>
      <w:tabs>
        <w:tab w:val="left" w:pos="283"/>
        <w:tab w:val="left" w:pos="567"/>
        <w:tab w:val="left" w:pos="850"/>
        <w:tab w:val="left" w:pos="1134"/>
        <w:tab w:val="left" w:pos="1417"/>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autoSpaceDE w:val="0"/>
      <w:autoSpaceDN w:val="0"/>
      <w:adjustRightInd w:val="0"/>
      <w:spacing w:before="17" w:after="28" w:line="221" w:lineRule="atLeast"/>
      <w:ind w:left="567" w:hanging="141"/>
      <w:jc w:val="both"/>
    </w:pPr>
    <w:rPr>
      <w:rFonts w:ascii="Arial" w:eastAsia="Calibri" w:hAnsi="Arial" w:cs="Arial"/>
      <w:color w:val="000000"/>
      <w:lang w:eastAsia="it-IT"/>
    </w:rPr>
  </w:style>
  <w:style w:type="paragraph" w:customStyle="1" w:styleId="Testo">
    <w:name w:val="Testo"/>
    <w:basedOn w:val="Normale"/>
    <w:uiPriority w:val="99"/>
    <w:qFormat/>
    <w:pPr>
      <w:tabs>
        <w:tab w:val="left" w:pos="0"/>
        <w:tab w:val="left" w:pos="283"/>
        <w:tab w:val="left" w:pos="850"/>
        <w:tab w:val="left" w:pos="1134"/>
        <w:tab w:val="left" w:pos="1417"/>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autoSpaceDE w:val="0"/>
      <w:autoSpaceDN w:val="0"/>
      <w:adjustRightInd w:val="0"/>
      <w:spacing w:before="17" w:after="28" w:line="221" w:lineRule="atLeast"/>
      <w:jc w:val="both"/>
    </w:pPr>
    <w:rPr>
      <w:rFonts w:ascii="Arial" w:eastAsia="Calibri" w:hAnsi="Arial" w:cs="Arial"/>
      <w:color w:val="211D1E"/>
      <w:lang w:eastAsia="it-IT"/>
    </w:rPr>
  </w:style>
  <w:style w:type="character" w:styleId="Enfasidelicata">
    <w:name w:val="Subtle Emphasis"/>
    <w:uiPriority w:val="19"/>
    <w:rPr>
      <w:i/>
      <w:iCs/>
      <w:color w:val="404040"/>
    </w:rPr>
  </w:style>
  <w:style w:type="paragraph" w:customStyle="1" w:styleId="Pa37">
    <w:name w:val="Pa37"/>
    <w:basedOn w:val="Default"/>
    <w:next w:val="Default"/>
    <w:uiPriority w:val="99"/>
    <w:pPr>
      <w:spacing w:line="221" w:lineRule="atLeast"/>
    </w:pPr>
    <w:rPr>
      <w:rFonts w:eastAsia="Calibri"/>
      <w:color w:val="auto"/>
      <w:lang w:eastAsia="it-IT"/>
    </w:rPr>
  </w:style>
  <w:style w:type="paragraph" w:customStyle="1" w:styleId="Pa26">
    <w:name w:val="Pa26"/>
    <w:basedOn w:val="Default"/>
    <w:next w:val="Default"/>
    <w:uiPriority w:val="99"/>
    <w:pPr>
      <w:spacing w:line="221" w:lineRule="atLeast"/>
    </w:pPr>
    <w:rPr>
      <w:rFonts w:eastAsia="Calibri"/>
      <w:color w:val="auto"/>
      <w:lang w:eastAsia="it-IT"/>
    </w:rPr>
  </w:style>
  <w:style w:type="paragraph" w:customStyle="1" w:styleId="Pa38">
    <w:name w:val="Pa38"/>
    <w:basedOn w:val="Default"/>
    <w:next w:val="Default"/>
    <w:uiPriority w:val="99"/>
    <w:pPr>
      <w:spacing w:line="221" w:lineRule="atLeast"/>
    </w:pPr>
    <w:rPr>
      <w:rFonts w:eastAsia="Calibri"/>
      <w:color w:val="auto"/>
      <w:lang w:eastAsia="it-IT"/>
    </w:rPr>
  </w:style>
  <w:style w:type="paragraph" w:customStyle="1" w:styleId="Corpodeltesto24">
    <w:name w:val="Corpo del testo 24"/>
    <w:basedOn w:val="Normale"/>
    <w:pPr>
      <w:widowControl w:val="0"/>
      <w:spacing w:after="0" w:line="240" w:lineRule="auto"/>
      <w:jc w:val="both"/>
    </w:pPr>
    <w:rPr>
      <w:rFonts w:ascii="Arial" w:eastAsia="Times New Roman" w:hAnsi="Arial" w:cs="Times New Roman"/>
    </w:rPr>
  </w:style>
  <w:style w:type="paragraph" w:customStyle="1" w:styleId="Scadenziariosinistra">
    <w:name w:val="Scadenziario sinistra"/>
    <w:basedOn w:val="Normale"/>
    <w:link w:val="ScadenziariosinistraCarattere"/>
    <w:uiPriority w:val="99"/>
    <w:qFormat/>
    <w:pPr>
      <w:autoSpaceDN w:val="0"/>
      <w:spacing w:after="0" w:line="240" w:lineRule="auto"/>
      <w:jc w:val="center"/>
      <w:textAlignment w:val="center"/>
    </w:pPr>
    <w:rPr>
      <w:rFonts w:ascii="Arial" w:eastAsia="Calibri" w:hAnsi="Arial" w:cs="Times New Roman"/>
      <w:b/>
      <w:smallCaps/>
      <w:sz w:val="20"/>
      <w:szCs w:val="20"/>
    </w:rPr>
  </w:style>
  <w:style w:type="paragraph" w:customStyle="1" w:styleId="ScadenziarioPuntoni">
    <w:name w:val="Scadenziario Puntoni"/>
    <w:basedOn w:val="Corpodeltesto22"/>
    <w:link w:val="ScadenziarioPuntoniCarattere"/>
    <w:uiPriority w:val="99"/>
    <w:qFormat/>
    <w:pPr>
      <w:numPr>
        <w:numId w:val="5"/>
      </w:numPr>
      <w:suppressAutoHyphens w:val="0"/>
      <w:autoSpaceDE/>
      <w:adjustRightInd/>
      <w:spacing w:before="60" w:after="20" w:line="240" w:lineRule="auto"/>
      <w:textAlignment w:val="auto"/>
    </w:pPr>
    <w:rPr>
      <w:rFonts w:ascii="Arial" w:hAnsi="Arial" w:cs="Arial"/>
      <w:sz w:val="20"/>
      <w:szCs w:val="20"/>
    </w:rPr>
  </w:style>
  <w:style w:type="character" w:customStyle="1" w:styleId="ScadenziariosinistraCarattere">
    <w:name w:val="Scadenziario sinistra Carattere"/>
    <w:link w:val="Scadenziariosinistra"/>
    <w:uiPriority w:val="99"/>
    <w:rPr>
      <w:rFonts w:ascii="Arial" w:eastAsia="Calibri" w:hAnsi="Arial" w:cs="Times New Roman"/>
      <w:b/>
      <w:smallCaps/>
      <w:sz w:val="20"/>
      <w:szCs w:val="20"/>
    </w:rPr>
  </w:style>
  <w:style w:type="paragraph" w:customStyle="1" w:styleId="Scadenziariodestra">
    <w:name w:val="Scadenziario destra"/>
    <w:basedOn w:val="Corpodeltesto22"/>
    <w:link w:val="ScadenziariodestraCarattere"/>
    <w:uiPriority w:val="99"/>
    <w:qFormat/>
    <w:pPr>
      <w:suppressAutoHyphens w:val="0"/>
      <w:autoSpaceDE/>
      <w:adjustRightInd/>
      <w:spacing w:before="60" w:after="60" w:line="240" w:lineRule="auto"/>
    </w:pPr>
    <w:rPr>
      <w:rFonts w:ascii="Arial" w:hAnsi="Arial" w:cs="Arial"/>
      <w:sz w:val="20"/>
      <w:szCs w:val="20"/>
    </w:rPr>
  </w:style>
  <w:style w:type="character" w:customStyle="1" w:styleId="Corpodeltesto22Carattere">
    <w:name w:val="Corpo del testo 22 Carattere"/>
    <w:link w:val="Corpodeltesto22"/>
    <w:rPr>
      <w:rFonts w:ascii="Calibri" w:eastAsia="Times New Roman" w:hAnsi="Calibri" w:cs="Calibri"/>
      <w:color w:val="000000"/>
      <w:lang w:eastAsia="it-IT"/>
    </w:rPr>
  </w:style>
  <w:style w:type="character" w:customStyle="1" w:styleId="ScadenziarioPuntoniCarattere">
    <w:name w:val="Scadenziario Puntoni Carattere"/>
    <w:link w:val="ScadenziarioPuntoni"/>
    <w:uiPriority w:val="99"/>
    <w:rPr>
      <w:rFonts w:ascii="Arial" w:eastAsia="Times New Roman" w:hAnsi="Arial" w:cs="Arial"/>
      <w:color w:val="000000"/>
      <w:sz w:val="20"/>
      <w:szCs w:val="20"/>
      <w:lang w:eastAsia="it-IT"/>
    </w:rPr>
  </w:style>
  <w:style w:type="paragraph" w:styleId="Titolo">
    <w:name w:val="Title"/>
    <w:basedOn w:val="Normale"/>
    <w:next w:val="Normale"/>
    <w:link w:val="TitoloCarattere"/>
    <w:uiPriority w:val="10"/>
    <w:pPr>
      <w:suppressAutoHyphens/>
      <w:autoSpaceDE w:val="0"/>
      <w:autoSpaceDN w:val="0"/>
      <w:adjustRightInd w:val="0"/>
      <w:spacing w:before="240" w:after="60" w:line="288" w:lineRule="auto"/>
      <w:jc w:val="center"/>
      <w:textAlignment w:val="center"/>
      <w:outlineLvl w:val="0"/>
    </w:pPr>
    <w:rPr>
      <w:rFonts w:ascii="Calibri Light" w:eastAsia="Times New Roman" w:hAnsi="Calibri Light" w:cs="Times New Roman"/>
      <w:b/>
      <w:bCs/>
      <w:color w:val="000000"/>
      <w:kern w:val="28"/>
      <w:sz w:val="32"/>
      <w:szCs w:val="32"/>
      <w:lang w:eastAsia="it-IT"/>
    </w:rPr>
  </w:style>
  <w:style w:type="character" w:customStyle="1" w:styleId="TitoloCarattere">
    <w:name w:val="Titolo Carattere"/>
    <w:basedOn w:val="Carpredefinitoparagrafo"/>
    <w:link w:val="Titolo"/>
    <w:uiPriority w:val="10"/>
    <w:rPr>
      <w:rFonts w:ascii="Calibri Light" w:eastAsia="Times New Roman" w:hAnsi="Calibri Light" w:cs="Times New Roman"/>
      <w:b/>
      <w:bCs/>
      <w:color w:val="000000"/>
      <w:kern w:val="28"/>
      <w:sz w:val="32"/>
      <w:szCs w:val="32"/>
      <w:lang w:eastAsia="it-IT"/>
    </w:rPr>
  </w:style>
  <w:style w:type="character" w:customStyle="1" w:styleId="ScadenziariodestraCarattere">
    <w:name w:val="Scadenziario destra Carattere"/>
    <w:link w:val="Scadenziariodestra"/>
    <w:uiPriority w:val="99"/>
    <w:rPr>
      <w:rFonts w:ascii="Arial" w:eastAsia="Times New Roman" w:hAnsi="Arial" w:cs="Arial"/>
      <w:color w:val="000000"/>
      <w:sz w:val="20"/>
      <w:szCs w:val="20"/>
      <w:lang w:eastAsia="it-IT"/>
    </w:rPr>
  </w:style>
  <w:style w:type="character" w:customStyle="1" w:styleId="puntoCarattere">
    <w:name w:val="punto Carattere"/>
    <w:link w:val="punto"/>
    <w:uiPriority w:val="99"/>
    <w:rPr>
      <w:rFonts w:ascii="Calibri" w:eastAsia="Calibri" w:hAnsi="Calibri" w:cs="Arial"/>
      <w:color w:val="000000"/>
      <w:lang w:eastAsia="it-IT"/>
    </w:rPr>
  </w:style>
  <w:style w:type="character" w:customStyle="1" w:styleId="PuntoniCarattere">
    <w:name w:val="Puntoni Carattere"/>
    <w:link w:val="Puntoni"/>
    <w:uiPriority w:val="99"/>
    <w:rPr>
      <w:rFonts w:ascii="Arial" w:eastAsia="Calibri" w:hAnsi="Arial" w:cs="Arial"/>
      <w:bCs/>
      <w:color w:val="000000"/>
      <w:lang w:eastAsia="it-IT"/>
    </w:rPr>
  </w:style>
  <w:style w:type="paragraph" w:customStyle="1" w:styleId="citato">
    <w:name w:val="citato"/>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after="28"/>
      <w:jc w:val="both"/>
    </w:pPr>
    <w:rPr>
      <w:rFonts w:ascii="Arial" w:hAnsi="Arial" w:cs="Arial"/>
      <w:i/>
      <w:iCs/>
    </w:rPr>
  </w:style>
  <w:style w:type="paragraph" w:customStyle="1" w:styleId="BodyTextCentro">
    <w:name w:val="Body Text Centro"/>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after="28"/>
      <w:jc w:val="center"/>
      <w:textAlignment w:val="auto"/>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pPr>
      <w:keepNext/>
      <w:widowControl w:val="0"/>
      <w:pBdr>
        <w:bottom w:val="single" w:sz="18" w:space="1" w:color="C0C0C0"/>
      </w:pBdr>
      <w:suppressAutoHyphens/>
      <w:autoSpaceDE w:val="0"/>
      <w:autoSpaceDN w:val="0"/>
      <w:adjustRightInd w:val="0"/>
      <w:spacing w:before="240" w:after="60" w:line="288" w:lineRule="auto"/>
      <w:jc w:val="both"/>
      <w:textAlignment w:val="center"/>
      <w:outlineLvl w:val="1"/>
    </w:pPr>
    <w:rPr>
      <w:rFonts w:ascii="Calibri" w:eastAsia="Times New Roman" w:hAnsi="Calibri" w:cs="Calibri"/>
      <w:color w:val="000000"/>
      <w:szCs w:val="20"/>
      <w:lang w:eastAsia="it-IT"/>
    </w:rPr>
  </w:style>
  <w:style w:type="paragraph" w:styleId="Titolo3">
    <w:name w:val="heading 3"/>
    <w:basedOn w:val="Normale"/>
    <w:next w:val="Normale"/>
    <w:link w:val="Titolo3Carattere"/>
    <w:pPr>
      <w:keepNext/>
      <w:suppressAutoHyphens/>
      <w:autoSpaceDE w:val="0"/>
      <w:autoSpaceDN w:val="0"/>
      <w:adjustRightInd w:val="0"/>
      <w:spacing w:after="0" w:line="288" w:lineRule="auto"/>
      <w:jc w:val="right"/>
      <w:textAlignment w:val="center"/>
      <w:outlineLvl w:val="2"/>
    </w:pPr>
    <w:rPr>
      <w:rFonts w:ascii="Calibri" w:eastAsia="Calibri" w:hAnsi="Calibri" w:cs="Arial"/>
      <w:b/>
      <w:bCs/>
      <w:noProof/>
      <w:color w:val="000000"/>
      <w:lang w:eastAsia="it-IT"/>
    </w:rPr>
  </w:style>
  <w:style w:type="paragraph" w:styleId="Titolo4">
    <w:name w:val="heading 4"/>
    <w:basedOn w:val="Normale"/>
    <w:next w:val="Normale"/>
    <w:link w:val="Titolo4Carattere"/>
    <w:pPr>
      <w:keepNext/>
      <w:widowControl w:val="0"/>
      <w:suppressAutoHyphens/>
      <w:autoSpaceDE w:val="0"/>
      <w:autoSpaceDN w:val="0"/>
      <w:adjustRightInd w:val="0"/>
      <w:spacing w:before="240" w:after="60" w:line="288" w:lineRule="auto"/>
      <w:jc w:val="both"/>
      <w:textAlignment w:val="center"/>
      <w:outlineLvl w:val="3"/>
    </w:pPr>
    <w:rPr>
      <w:rFonts w:ascii="Calibri" w:eastAsia="Times New Roman" w:hAnsi="Calibri" w:cs="Calibri"/>
      <w:b/>
      <w:i/>
      <w:color w:val="000000"/>
      <w:szCs w:val="20"/>
      <w:lang w:eastAsia="it-IT"/>
    </w:rPr>
  </w:style>
  <w:style w:type="paragraph" w:styleId="Titolo5">
    <w:name w:val="heading 5"/>
    <w:basedOn w:val="Normale"/>
    <w:next w:val="Normale"/>
    <w:link w:val="Titolo5Carattere"/>
    <w:pPr>
      <w:keepNext/>
      <w:suppressAutoHyphens/>
      <w:autoSpaceDE w:val="0"/>
      <w:autoSpaceDN w:val="0"/>
      <w:adjustRightInd w:val="0"/>
      <w:spacing w:before="100" w:beforeAutospacing="1" w:after="0" w:line="288" w:lineRule="auto"/>
      <w:textAlignment w:val="center"/>
      <w:outlineLvl w:val="4"/>
    </w:pPr>
    <w:rPr>
      <w:rFonts w:ascii="Eras Medium ITC" w:eastAsia="Calibri" w:hAnsi="Eras Medium ITC" w:cs="Arial"/>
      <w:b/>
      <w:bCs/>
      <w:color w:val="000000"/>
      <w:lang w:eastAsia="it-IT"/>
    </w:rPr>
  </w:style>
  <w:style w:type="paragraph" w:styleId="Titolo6">
    <w:name w:val="heading 6"/>
    <w:basedOn w:val="Normale"/>
    <w:link w:val="Titolo6Carattere"/>
    <w:qFormat/>
    <w:pPr>
      <w:spacing w:before="100" w:beforeAutospacing="1" w:after="100" w:afterAutospacing="1" w:line="240" w:lineRule="auto"/>
      <w:outlineLvl w:val="5"/>
    </w:pPr>
    <w:rPr>
      <w:rFonts w:ascii="Times New Roman" w:eastAsia="Times New Roman" w:hAnsi="Times New Roman" w:cs="Times New Roman"/>
      <w:b/>
      <w:bCs/>
      <w:sz w:val="15"/>
      <w:szCs w:val="15"/>
      <w:lang w:eastAsia="it-IT"/>
    </w:rPr>
  </w:style>
  <w:style w:type="paragraph" w:styleId="Titolo7">
    <w:name w:val="heading 7"/>
    <w:basedOn w:val="Normale"/>
    <w:next w:val="Normale"/>
    <w:link w:val="Titolo7Carattere"/>
    <w:pPr>
      <w:keepNext/>
      <w:suppressAutoHyphens/>
      <w:autoSpaceDE w:val="0"/>
      <w:autoSpaceDN w:val="0"/>
      <w:adjustRightInd w:val="0"/>
      <w:spacing w:before="20" w:after="20" w:line="288" w:lineRule="auto"/>
      <w:jc w:val="center"/>
      <w:textAlignment w:val="center"/>
      <w:outlineLvl w:val="6"/>
    </w:pPr>
    <w:rPr>
      <w:rFonts w:ascii="Calibri" w:eastAsia="Calibri" w:hAnsi="Calibri" w:cs="Calibri"/>
      <w:b/>
      <w:i/>
      <w:color w:val="000000"/>
      <w:lang w:eastAsia="it-IT"/>
    </w:rPr>
  </w:style>
  <w:style w:type="paragraph" w:styleId="Titolo8">
    <w:name w:val="heading 8"/>
    <w:basedOn w:val="Normale"/>
    <w:next w:val="Normale"/>
    <w:link w:val="Titolo8Carattere"/>
    <w:uiPriority w:val="9"/>
    <w:semiHidden/>
    <w:unhideWhenUsed/>
    <w:pPr>
      <w:suppressAutoHyphens/>
      <w:autoSpaceDE w:val="0"/>
      <w:autoSpaceDN w:val="0"/>
      <w:adjustRightInd w:val="0"/>
      <w:spacing w:before="240" w:after="60" w:line="288" w:lineRule="auto"/>
      <w:textAlignment w:val="center"/>
      <w:outlineLvl w:val="7"/>
    </w:pPr>
    <w:rPr>
      <w:rFonts w:ascii="Calibri" w:eastAsia="Times New Roman" w:hAnsi="Calibri" w:cs="Times New Roman"/>
      <w:i/>
      <w:iCs/>
      <w:color w:val="000000"/>
      <w:sz w:val="24"/>
      <w:szCs w:val="24"/>
      <w:lang w:eastAsia="it-IT"/>
    </w:rPr>
  </w:style>
  <w:style w:type="paragraph" w:styleId="Titolo9">
    <w:name w:val="heading 9"/>
    <w:basedOn w:val="Normale"/>
    <w:next w:val="Normale"/>
    <w:link w:val="Titolo9Carattere"/>
    <w:pPr>
      <w:keepNext/>
      <w:suppressAutoHyphens/>
      <w:autoSpaceDE w:val="0"/>
      <w:autoSpaceDN w:val="0"/>
      <w:adjustRightInd w:val="0"/>
      <w:spacing w:before="40" w:after="0" w:line="288" w:lineRule="auto"/>
      <w:jc w:val="center"/>
      <w:textAlignment w:val="center"/>
      <w:outlineLvl w:val="8"/>
    </w:pPr>
    <w:rPr>
      <w:rFonts w:ascii="Calibri" w:eastAsia="Calibri" w:hAnsi="Calibri" w:cs="Calibri"/>
      <w:b/>
      <w:smallCaps/>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basedOn w:val="Carpredefinitoparagrafo"/>
    <w:link w:val="Titolo6"/>
    <w:uiPriority w:val="9"/>
    <w:rPr>
      <w:rFonts w:ascii="Times New Roman" w:eastAsia="Times New Roman" w:hAnsi="Times New Roman" w:cs="Times New Roman"/>
      <w:b/>
      <w:bCs/>
      <w:sz w:val="15"/>
      <w:szCs w:val="15"/>
      <w:lang w:eastAsia="it-IT"/>
    </w:rPr>
  </w:style>
  <w:style w:type="character" w:styleId="Collegamentoipertestuale">
    <w:name w:val="Hyperlink"/>
    <w:basedOn w:val="Carpredefinitoparagrafo"/>
    <w:uiPriority w:val="99"/>
    <w:unhideWhenUsed/>
    <w:rPr>
      <w:color w:val="0000FF"/>
      <w:u w:val="single"/>
    </w:rPr>
  </w:style>
  <w:style w:type="paragraph" w:customStyle="1" w:styleId="data-news">
    <w:name w:val="data-news"/>
    <w:basedOn w:val="Normal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se">
    <w:name w:val="mese"/>
    <w:basedOn w:val="Normal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igtext">
    <w:name w:val="bigtext"/>
    <w:basedOn w:val="Normal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malltext">
    <w:name w:val="smalltext"/>
    <w:basedOn w:val="Normal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mleft10">
    <w:name w:val="mleft10"/>
    <w:basedOn w:val="Carpredefinitoparagrafo"/>
  </w:style>
  <w:style w:type="character" w:styleId="Numeropagina">
    <w:name w:val="page number"/>
    <w:basedOn w:val="Carpredefinitoparagrafo"/>
    <w:uiPriority w:val="99"/>
  </w:style>
  <w:style w:type="table" w:styleId="Grigliatabella">
    <w:name w:val="Table Grid"/>
    <w:basedOn w:val="Tabellanormale"/>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nhideWhenUs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style>
  <w:style w:type="paragraph" w:styleId="Pidipagina">
    <w:name w:val="footer"/>
    <w:basedOn w:val="Normale"/>
    <w:link w:val="PidipaginaCarattere"/>
    <w:unhideWhenUsed/>
    <w:pPr>
      <w:tabs>
        <w:tab w:val="center" w:pos="4819"/>
        <w:tab w:val="right" w:pos="9638"/>
      </w:tabs>
      <w:spacing w:after="0" w:line="240" w:lineRule="auto"/>
    </w:pPr>
  </w:style>
  <w:style w:type="character" w:customStyle="1" w:styleId="PidipaginaCarattere">
    <w:name w:val="Piè di pagina Carattere"/>
    <w:basedOn w:val="Carpredefinitoparagrafo"/>
    <w:link w:val="Pidipagina"/>
  </w:style>
  <w:style w:type="paragraph" w:styleId="NormaleWeb">
    <w:name w:val="Normal (Web)"/>
    <w:basedOn w:val="Normale"/>
    <w:uiPriority w:val="99"/>
    <w:unhideWhenUse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Pr>
      <w:b/>
      <w:bCs/>
    </w:rPr>
  </w:style>
  <w:style w:type="paragraph" w:styleId="Paragrafoelenco">
    <w:name w:val="List Paragraph"/>
    <w:basedOn w:val="Normale"/>
    <w:link w:val="ParagrafoelencoCarattere"/>
    <w:uiPriority w:val="1"/>
    <w:qFormat/>
    <w:pPr>
      <w:ind w:left="720"/>
      <w:contextualSpacing/>
    </w:pPr>
  </w:style>
  <w:style w:type="paragraph" w:styleId="Testofumetto">
    <w:name w:val="Balloon Text"/>
    <w:basedOn w:val="Normale"/>
    <w:link w:val="TestofumettoCarattere"/>
    <w:semiHidden/>
    <w:unhideWhenUse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character" w:customStyle="1" w:styleId="Titolo1Carattere">
    <w:name w:val="Titolo 1 Carattere"/>
    <w:basedOn w:val="Carpredefinitoparagrafo"/>
    <w:link w:val="Titolo1"/>
    <w:uiPriority w:val="9"/>
    <w:rPr>
      <w:rFonts w:asciiTheme="majorHAnsi" w:eastAsiaTheme="majorEastAsia" w:hAnsiTheme="majorHAnsi" w:cstheme="majorBidi"/>
      <w:b/>
      <w:bCs/>
      <w:color w:val="365F91" w:themeColor="accent1" w:themeShade="BF"/>
      <w:sz w:val="28"/>
      <w:szCs w:val="28"/>
    </w:rPr>
  </w:style>
  <w:style w:type="character" w:styleId="Enfasicorsivo">
    <w:name w:val="Emphasis"/>
    <w:basedOn w:val="Carpredefinitoparagrafo"/>
    <w:uiPriority w:val="20"/>
    <w:qFormat/>
    <w:rPr>
      <w:i/>
      <w:iCs/>
    </w:rPr>
  </w:style>
  <w:style w:type="paragraph" w:styleId="PreformattatoHTML">
    <w:name w:val="HTML Preformatted"/>
    <w:basedOn w:val="Normale"/>
    <w:link w:val="PreformattatoHTMLCarattere"/>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Pr>
      <w:rFonts w:ascii="Courier New" w:eastAsia="Times New Roman" w:hAnsi="Courier New" w:cs="Courier New"/>
      <w:sz w:val="20"/>
      <w:szCs w:val="20"/>
      <w:lang w:eastAsia="it-IT"/>
    </w:rPr>
  </w:style>
  <w:style w:type="paragraph" w:customStyle="1" w:styleId="Corpodeltesto21">
    <w:name w:val="Corpo del testo 21"/>
    <w:basedOn w:val="Normale"/>
    <w:uiPriority w:val="99"/>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szCs w:val="20"/>
      <w:lang w:eastAsia="it-IT"/>
    </w:rPr>
  </w:style>
  <w:style w:type="paragraph" w:styleId="Corpotesto">
    <w:name w:val="Body Text"/>
    <w:basedOn w:val="Normale"/>
    <w:link w:val="CorpotestoCarattere"/>
    <w:uiPriority w:val="99"/>
    <w:pPr>
      <w:suppressAutoHyphens/>
      <w:autoSpaceDE w:val="0"/>
      <w:autoSpaceDN w:val="0"/>
      <w:adjustRightInd w:val="0"/>
      <w:spacing w:after="120" w:line="288" w:lineRule="auto"/>
      <w:textAlignment w:val="center"/>
    </w:pPr>
    <w:rPr>
      <w:rFonts w:ascii="Calibri" w:eastAsia="Calibri" w:hAnsi="Calibri" w:cs="Calibri"/>
      <w:color w:val="000000"/>
      <w:lang w:eastAsia="it-IT"/>
    </w:rPr>
  </w:style>
  <w:style w:type="character" w:customStyle="1" w:styleId="CorpotestoCarattere">
    <w:name w:val="Corpo testo Carattere"/>
    <w:basedOn w:val="Carpredefinitoparagrafo"/>
    <w:link w:val="Corpotesto"/>
    <w:uiPriority w:val="99"/>
    <w:rPr>
      <w:rFonts w:ascii="Calibri" w:eastAsia="Calibri" w:hAnsi="Calibri" w:cs="Calibri"/>
      <w:color w:val="000000"/>
      <w:lang w:eastAsia="it-IT"/>
    </w:rPr>
  </w:style>
  <w:style w:type="paragraph" w:customStyle="1" w:styleId="Pa4">
    <w:name w:val="Pa4"/>
    <w:basedOn w:val="Default"/>
    <w:next w:val="Default"/>
    <w:uiPriority w:val="99"/>
    <w:pPr>
      <w:spacing w:line="221" w:lineRule="atLeast"/>
    </w:pPr>
    <w:rPr>
      <w:rFonts w:eastAsia="Calibri"/>
      <w:color w:val="auto"/>
      <w:lang w:eastAsia="it-IT"/>
    </w:rPr>
  </w:style>
  <w:style w:type="character" w:customStyle="1" w:styleId="Titolo2Carattere">
    <w:name w:val="Titolo 2 Carattere"/>
    <w:basedOn w:val="Carpredefinitoparagrafo"/>
    <w:link w:val="Titolo2"/>
    <w:rPr>
      <w:rFonts w:ascii="Calibri" w:eastAsia="Times New Roman" w:hAnsi="Calibri" w:cs="Calibri"/>
      <w:color w:val="000000"/>
      <w:szCs w:val="20"/>
      <w:lang w:eastAsia="it-IT"/>
    </w:rPr>
  </w:style>
  <w:style w:type="character" w:customStyle="1" w:styleId="Titolo3Carattere">
    <w:name w:val="Titolo 3 Carattere"/>
    <w:basedOn w:val="Carpredefinitoparagrafo"/>
    <w:link w:val="Titolo3"/>
    <w:rPr>
      <w:rFonts w:ascii="Calibri" w:eastAsia="Calibri" w:hAnsi="Calibri" w:cs="Arial"/>
      <w:b/>
      <w:bCs/>
      <w:noProof/>
      <w:color w:val="000000"/>
      <w:lang w:eastAsia="it-IT"/>
    </w:rPr>
  </w:style>
  <w:style w:type="character" w:customStyle="1" w:styleId="Titolo4Carattere">
    <w:name w:val="Titolo 4 Carattere"/>
    <w:basedOn w:val="Carpredefinitoparagrafo"/>
    <w:link w:val="Titolo4"/>
    <w:rPr>
      <w:rFonts w:ascii="Calibri" w:eastAsia="Times New Roman" w:hAnsi="Calibri" w:cs="Calibri"/>
      <w:b/>
      <w:i/>
      <w:color w:val="000000"/>
      <w:szCs w:val="20"/>
      <w:lang w:eastAsia="it-IT"/>
    </w:rPr>
  </w:style>
  <w:style w:type="character" w:customStyle="1" w:styleId="Titolo5Carattere">
    <w:name w:val="Titolo 5 Carattere"/>
    <w:basedOn w:val="Carpredefinitoparagrafo"/>
    <w:link w:val="Titolo5"/>
    <w:rPr>
      <w:rFonts w:ascii="Eras Medium ITC" w:eastAsia="Calibri" w:hAnsi="Eras Medium ITC" w:cs="Arial"/>
      <w:b/>
      <w:bCs/>
      <w:color w:val="000000"/>
      <w:lang w:eastAsia="it-IT"/>
    </w:rPr>
  </w:style>
  <w:style w:type="character" w:customStyle="1" w:styleId="Titolo7Carattere">
    <w:name w:val="Titolo 7 Carattere"/>
    <w:basedOn w:val="Carpredefinitoparagrafo"/>
    <w:link w:val="Titolo7"/>
    <w:rPr>
      <w:rFonts w:ascii="Calibri" w:eastAsia="Calibri" w:hAnsi="Calibri" w:cs="Calibri"/>
      <w:b/>
      <w:i/>
      <w:color w:val="000000"/>
      <w:lang w:eastAsia="it-IT"/>
    </w:rPr>
  </w:style>
  <w:style w:type="character" w:customStyle="1" w:styleId="Titolo8Carattere">
    <w:name w:val="Titolo 8 Carattere"/>
    <w:basedOn w:val="Carpredefinitoparagrafo"/>
    <w:link w:val="Titolo8"/>
    <w:uiPriority w:val="9"/>
    <w:semiHidden/>
    <w:rPr>
      <w:rFonts w:ascii="Calibri" w:eastAsia="Times New Roman" w:hAnsi="Calibri" w:cs="Times New Roman"/>
      <w:i/>
      <w:iCs/>
      <w:color w:val="000000"/>
      <w:sz w:val="24"/>
      <w:szCs w:val="24"/>
      <w:lang w:eastAsia="it-IT"/>
    </w:rPr>
  </w:style>
  <w:style w:type="character" w:customStyle="1" w:styleId="Titolo9Carattere">
    <w:name w:val="Titolo 9 Carattere"/>
    <w:basedOn w:val="Carpredefinitoparagrafo"/>
    <w:link w:val="Titolo9"/>
    <w:rPr>
      <w:rFonts w:ascii="Calibri" w:eastAsia="Calibri" w:hAnsi="Calibri" w:cs="Calibri"/>
      <w:b/>
      <w:smallCaps/>
      <w:color w:val="000000"/>
      <w:lang w:eastAsia="it-IT"/>
    </w:rPr>
  </w:style>
  <w:style w:type="paragraph" w:customStyle="1" w:styleId="Oggetto">
    <w:name w:val="Oggetto"/>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b/>
      <w:color w:val="000000"/>
      <w:szCs w:val="20"/>
      <w:lang w:eastAsia="it-IT"/>
    </w:rPr>
  </w:style>
  <w:style w:type="paragraph" w:customStyle="1" w:styleId="6P">
    <w:name w:val="6P"/>
    <w:basedOn w:val="Normale"/>
    <w:pPr>
      <w:widowControl w:val="0"/>
      <w:suppressAutoHyphens/>
      <w:autoSpaceDE w:val="0"/>
      <w:autoSpaceDN w:val="0"/>
      <w:adjustRightInd w:val="0"/>
      <w:spacing w:after="0" w:line="-120" w:lineRule="auto"/>
      <w:jc w:val="both"/>
      <w:textAlignment w:val="center"/>
    </w:pPr>
    <w:rPr>
      <w:rFonts w:ascii="Calibri" w:eastAsia="Times New Roman" w:hAnsi="Calibri" w:cs="Calibri"/>
      <w:color w:val="000000"/>
      <w:szCs w:val="20"/>
      <w:lang w:eastAsia="it-IT"/>
    </w:rPr>
  </w:style>
  <w:style w:type="paragraph" w:styleId="Corpodeltesto2">
    <w:name w:val="Body Text 2"/>
    <w:basedOn w:val="Normale"/>
    <w:link w:val="Corpodeltesto2Carattere"/>
    <w:semiHidden/>
    <w:pPr>
      <w:widowControl w:val="0"/>
      <w:suppressAutoHyphens/>
      <w:autoSpaceDE w:val="0"/>
      <w:autoSpaceDN w:val="0"/>
      <w:adjustRightInd w:val="0"/>
      <w:spacing w:after="0" w:line="288" w:lineRule="auto"/>
      <w:textAlignment w:val="center"/>
    </w:pPr>
    <w:rPr>
      <w:rFonts w:ascii="Calibri" w:eastAsia="Times New Roman" w:hAnsi="Calibri" w:cs="Calibri"/>
      <w:color w:val="000000"/>
      <w:szCs w:val="20"/>
      <w:lang w:eastAsia="it-IT"/>
    </w:rPr>
  </w:style>
  <w:style w:type="character" w:customStyle="1" w:styleId="Corpodeltesto2Carattere">
    <w:name w:val="Corpo del testo 2 Carattere"/>
    <w:basedOn w:val="Carpredefinitoparagrafo"/>
    <w:link w:val="Corpodeltesto2"/>
    <w:semiHidden/>
    <w:rPr>
      <w:rFonts w:ascii="Calibri" w:eastAsia="Times New Roman" w:hAnsi="Calibri" w:cs="Calibri"/>
      <w:color w:val="000000"/>
      <w:szCs w:val="20"/>
      <w:lang w:eastAsia="it-IT"/>
    </w:rPr>
  </w:style>
  <w:style w:type="paragraph" w:customStyle="1" w:styleId="RIFERIMENTI">
    <w:name w:val="RIFERIMENTI"/>
    <w:basedOn w:val="Normale"/>
    <w:pPr>
      <w:numPr>
        <w:numId w:val="1"/>
      </w:numPr>
      <w:suppressAutoHyphens/>
      <w:autoSpaceDE w:val="0"/>
      <w:autoSpaceDN w:val="0"/>
      <w:adjustRightInd w:val="0"/>
      <w:spacing w:after="0" w:line="288" w:lineRule="auto"/>
      <w:textAlignment w:val="center"/>
    </w:pPr>
    <w:rPr>
      <w:rFonts w:ascii="Eras Medium ITC" w:eastAsia="Calibri" w:hAnsi="Eras Medium ITC" w:cs="Arial"/>
      <w:color w:val="000000"/>
      <w:lang w:eastAsia="it-IT"/>
    </w:rPr>
  </w:style>
  <w:style w:type="paragraph" w:customStyle="1" w:styleId="titoloterzo">
    <w:name w:val="titoloterzo"/>
    <w:basedOn w:val="Corpotesto"/>
    <w:pPr>
      <w:widowControl w:val="0"/>
      <w:tabs>
        <w:tab w:val="right" w:pos="9356"/>
      </w:tabs>
      <w:spacing w:before="160" w:after="80"/>
      <w:jc w:val="both"/>
    </w:pPr>
    <w:rPr>
      <w:rFonts w:eastAsia="Times New Roman"/>
      <w:b/>
      <w:spacing w:val="2"/>
      <w:szCs w:val="20"/>
    </w:rPr>
  </w:style>
  <w:style w:type="paragraph" w:customStyle="1" w:styleId="BodyText31">
    <w:name w:val="Body Text 31"/>
    <w:basedOn w:val="Normale"/>
    <w:pPr>
      <w:widowControl w:val="0"/>
      <w:suppressAutoHyphens/>
      <w:autoSpaceDE w:val="0"/>
      <w:autoSpaceDN w:val="0"/>
      <w:adjustRightInd w:val="0"/>
      <w:spacing w:after="40" w:line="288" w:lineRule="auto"/>
      <w:jc w:val="both"/>
      <w:textAlignment w:val="center"/>
    </w:pPr>
    <w:rPr>
      <w:rFonts w:ascii="Calibri" w:eastAsia="Times New Roman" w:hAnsi="Calibri" w:cs="Calibri"/>
      <w:color w:val="000000"/>
      <w:lang w:eastAsia="it-IT"/>
    </w:rPr>
  </w:style>
  <w:style w:type="paragraph" w:styleId="Elenco2">
    <w:name w:val="List 2"/>
    <w:basedOn w:val="Normale"/>
    <w:semiHidden/>
    <w:pPr>
      <w:widowControl w:val="0"/>
      <w:numPr>
        <w:numId w:val="2"/>
      </w:numPr>
      <w:suppressAutoHyphens/>
      <w:autoSpaceDE w:val="0"/>
      <w:autoSpaceDN w:val="0"/>
      <w:adjustRightInd w:val="0"/>
      <w:spacing w:after="0" w:line="288" w:lineRule="auto"/>
      <w:jc w:val="both"/>
      <w:textAlignment w:val="center"/>
    </w:pPr>
    <w:rPr>
      <w:rFonts w:ascii="Calibri" w:eastAsia="Times New Roman" w:hAnsi="Calibri" w:cs="Calibri"/>
      <w:color w:val="000000"/>
      <w:sz w:val="24"/>
      <w:lang w:eastAsia="it-IT"/>
    </w:rPr>
  </w:style>
  <w:style w:type="paragraph" w:styleId="Testodelblocco">
    <w:name w:val="Block Text"/>
    <w:basedOn w:val="Normale"/>
    <w:semiHidden/>
    <w:pPr>
      <w:widowControl w:val="0"/>
      <w:suppressAutoHyphens/>
      <w:autoSpaceDE w:val="0"/>
      <w:autoSpaceDN w:val="0"/>
      <w:adjustRightInd w:val="0"/>
      <w:spacing w:before="60" w:after="0" w:line="288" w:lineRule="auto"/>
      <w:ind w:left="113" w:right="113"/>
      <w:jc w:val="center"/>
      <w:textAlignment w:val="center"/>
    </w:pPr>
    <w:rPr>
      <w:rFonts w:ascii="Calibri" w:eastAsia="Times New Roman" w:hAnsi="Calibri" w:cs="Calibri"/>
      <w:b/>
      <w:color w:val="000000"/>
      <w:lang w:eastAsia="it-IT"/>
    </w:rPr>
  </w:style>
  <w:style w:type="paragraph" w:styleId="Rientrocorpodeltesto">
    <w:name w:val="Body Text Indent"/>
    <w:basedOn w:val="Normale"/>
    <w:link w:val="RientrocorpodeltestoCarattere"/>
    <w:semiHidden/>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character" w:customStyle="1" w:styleId="RientrocorpodeltestoCarattere">
    <w:name w:val="Rientro corpo del testo Carattere"/>
    <w:basedOn w:val="Carpredefinitoparagrafo"/>
    <w:link w:val="Rientrocorpodeltesto"/>
    <w:semiHidden/>
    <w:rPr>
      <w:rFonts w:ascii="Calibri" w:eastAsia="Times New Roman" w:hAnsi="Calibri" w:cs="Calibri"/>
      <w:color w:val="000000"/>
      <w:lang w:eastAsia="it-IT"/>
    </w:rPr>
  </w:style>
  <w:style w:type="character" w:styleId="Rimandocommento">
    <w:name w:val="annotation reference"/>
    <w:uiPriority w:val="99"/>
    <w:semiHidden/>
    <w:unhideWhenUsed/>
    <w:rPr>
      <w:sz w:val="16"/>
      <w:szCs w:val="16"/>
    </w:rPr>
  </w:style>
  <w:style w:type="paragraph" w:styleId="Testocommento">
    <w:name w:val="annotation text"/>
    <w:basedOn w:val="Normale"/>
    <w:link w:val="TestocommentoCarattere"/>
    <w:uiPriority w:val="99"/>
    <w:semiHidden/>
    <w:unhideWhenUsed/>
    <w:pPr>
      <w:suppressAutoHyphens/>
      <w:autoSpaceDE w:val="0"/>
      <w:autoSpaceDN w:val="0"/>
      <w:adjustRightInd w:val="0"/>
      <w:spacing w:after="0" w:line="288" w:lineRule="auto"/>
      <w:textAlignment w:val="center"/>
    </w:pPr>
    <w:rPr>
      <w:rFonts w:ascii="Calibri" w:eastAsia="Calibri" w:hAnsi="Calibri" w:cs="Calibri"/>
      <w:color w:val="000000"/>
      <w:sz w:val="20"/>
      <w:szCs w:val="20"/>
      <w:lang w:eastAsia="it-IT"/>
    </w:rPr>
  </w:style>
  <w:style w:type="character" w:customStyle="1" w:styleId="TestocommentoCarattere">
    <w:name w:val="Testo commento Carattere"/>
    <w:basedOn w:val="Carpredefinitoparagrafo"/>
    <w:link w:val="Testocommento"/>
    <w:uiPriority w:val="99"/>
    <w:semiHidden/>
    <w:rPr>
      <w:rFonts w:ascii="Calibri" w:eastAsia="Calibri" w:hAnsi="Calibri" w:cs="Calibri"/>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Pr>
      <w:b/>
      <w:bCs/>
    </w:rPr>
  </w:style>
  <w:style w:type="character" w:customStyle="1" w:styleId="SoggettocommentoCarattere">
    <w:name w:val="Soggetto commento Carattere"/>
    <w:basedOn w:val="TestocommentoCarattere"/>
    <w:link w:val="Soggettocommento"/>
    <w:uiPriority w:val="99"/>
    <w:semiHidden/>
    <w:rPr>
      <w:rFonts w:ascii="Calibri" w:eastAsia="Calibri" w:hAnsi="Calibri" w:cs="Calibri"/>
      <w:b/>
      <w:bCs/>
      <w:color w:val="000000"/>
      <w:sz w:val="20"/>
      <w:szCs w:val="20"/>
      <w:lang w:eastAsia="it-IT"/>
    </w:rPr>
  </w:style>
  <w:style w:type="character" w:customStyle="1" w:styleId="ParagrafoelencoCarattere">
    <w:name w:val="Paragrafo elenco Carattere"/>
    <w:link w:val="Paragrafoelenco"/>
    <w:uiPriority w:val="1"/>
    <w:locked/>
  </w:style>
  <w:style w:type="paragraph" w:customStyle="1" w:styleId="Corpodeltesto214">
    <w:name w:val="Corpo del testo 214"/>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table" w:customStyle="1" w:styleId="Grigliatabella1">
    <w:name w:val="Griglia tabella1"/>
    <w:basedOn w:val="Tabellanormale"/>
    <w:next w:val="Grigliatabella"/>
    <w:uiPriority w:val="59"/>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rpodeltesto22">
    <w:name w:val="Corpo del testo 22"/>
    <w:basedOn w:val="Normale"/>
    <w:link w:val="Corpodeltesto22Caratter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customStyle="1" w:styleId="Corpodeltesto">
    <w:name w:val="Corpo del testo"/>
    <w:basedOn w:val="Normale"/>
    <w:semiHidden/>
    <w:pPr>
      <w:suppressAutoHyphens/>
      <w:autoSpaceDE w:val="0"/>
      <w:autoSpaceDN w:val="0"/>
      <w:adjustRightInd w:val="0"/>
      <w:spacing w:after="120" w:line="288" w:lineRule="auto"/>
      <w:textAlignment w:val="center"/>
    </w:pPr>
    <w:rPr>
      <w:rFonts w:ascii="Calibri" w:eastAsia="Calibri" w:hAnsi="Calibri" w:cs="Calibri"/>
      <w:color w:val="000000"/>
      <w:lang w:eastAsia="it-IT"/>
    </w:rPr>
  </w:style>
  <w:style w:type="paragraph" w:customStyle="1" w:styleId="Corpodeltesto220">
    <w:name w:val="Corpo del testo 220"/>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customStyle="1" w:styleId="Corpodeltesto25">
    <w:name w:val="Corpo del testo 25"/>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customStyle="1" w:styleId="Corpodeltesto26">
    <w:name w:val="Corpo del testo 26"/>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customStyle="1" w:styleId="Corpodeltesto227">
    <w:name w:val="Corpo del testo 227"/>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styleId="Corpodeltesto3">
    <w:name w:val="Body Text 3"/>
    <w:basedOn w:val="Normale"/>
    <w:link w:val="Corpodeltesto3Carattere"/>
    <w:uiPriority w:val="99"/>
    <w:unhideWhenUsed/>
    <w:pPr>
      <w:suppressAutoHyphens/>
      <w:autoSpaceDE w:val="0"/>
      <w:autoSpaceDN w:val="0"/>
      <w:adjustRightInd w:val="0"/>
      <w:spacing w:after="120" w:line="288" w:lineRule="auto"/>
      <w:textAlignment w:val="center"/>
    </w:pPr>
    <w:rPr>
      <w:rFonts w:ascii="Calibri" w:eastAsia="Calibri" w:hAnsi="Calibri" w:cs="Calibri"/>
      <w:color w:val="000000"/>
      <w:sz w:val="16"/>
      <w:szCs w:val="16"/>
      <w:lang w:eastAsia="it-IT"/>
    </w:rPr>
  </w:style>
  <w:style w:type="character" w:customStyle="1" w:styleId="Corpodeltesto3Carattere">
    <w:name w:val="Corpo del testo 3 Carattere"/>
    <w:basedOn w:val="Carpredefinitoparagrafo"/>
    <w:link w:val="Corpodeltesto3"/>
    <w:uiPriority w:val="99"/>
    <w:rPr>
      <w:rFonts w:ascii="Calibri" w:eastAsia="Calibri" w:hAnsi="Calibri" w:cs="Calibri"/>
      <w:color w:val="000000"/>
      <w:sz w:val="16"/>
      <w:szCs w:val="16"/>
      <w:lang w:eastAsia="it-IT"/>
    </w:rPr>
  </w:style>
  <w:style w:type="paragraph" w:customStyle="1" w:styleId="Corpodeltesto217">
    <w:name w:val="Corpo del testo 217"/>
    <w:basedOn w:val="Normale"/>
    <w:pPr>
      <w:widowControl w:val="0"/>
      <w:suppressAutoHyphens/>
      <w:autoSpaceDE w:val="0"/>
      <w:autoSpaceDN w:val="0"/>
      <w:adjustRightInd w:val="0"/>
      <w:spacing w:after="0" w:line="288" w:lineRule="auto"/>
      <w:jc w:val="both"/>
      <w:textAlignment w:val="center"/>
    </w:pPr>
    <w:rPr>
      <w:rFonts w:ascii="Calibri" w:eastAsia="Times New Roman" w:hAnsi="Calibri" w:cs="Calibri"/>
      <w:color w:val="000000"/>
      <w:lang w:eastAsia="it-IT"/>
    </w:rPr>
  </w:style>
  <w:style w:type="paragraph" w:customStyle="1" w:styleId="rientro">
    <w:name w:val="rientro"/>
    <w:basedOn w:val="Normale"/>
    <w:pPr>
      <w:suppressAutoHyphens/>
      <w:autoSpaceDE w:val="0"/>
      <w:autoSpaceDN w:val="0"/>
      <w:adjustRightInd w:val="0"/>
      <w:spacing w:before="100" w:beforeAutospacing="1" w:after="144" w:line="324" w:lineRule="atLeast"/>
      <w:textAlignment w:val="center"/>
    </w:pPr>
    <w:rPr>
      <w:rFonts w:ascii="sole_text" w:eastAsia="Times New Roman" w:hAnsi="sole_text" w:cs="Calibri"/>
      <w:color w:val="000000"/>
      <w:sz w:val="24"/>
      <w:szCs w:val="24"/>
      <w:lang w:eastAsia="it-IT"/>
    </w:rPr>
  </w:style>
  <w:style w:type="character" w:customStyle="1" w:styleId="Menzionenonrisolta">
    <w:name w:val="Menzione non risolta"/>
    <w:uiPriority w:val="99"/>
    <w:semiHidden/>
    <w:unhideWhenUsed/>
    <w:rPr>
      <w:color w:val="605E5C"/>
      <w:shd w:val="clear" w:color="auto" w:fill="E1DFDD"/>
    </w:rPr>
  </w:style>
  <w:style w:type="character" w:styleId="Collegamentovisitato">
    <w:name w:val="FollowedHyperlink"/>
    <w:uiPriority w:val="99"/>
    <w:semiHidden/>
    <w:unhideWhenUsed/>
    <w:rPr>
      <w:color w:val="954F72"/>
      <w:u w:val="single"/>
    </w:rPr>
  </w:style>
  <w:style w:type="paragraph" w:customStyle="1" w:styleId="TableText">
    <w:name w:val="Table Text"/>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after="0"/>
      <w:jc w:val="both"/>
    </w:pPr>
    <w:rPr>
      <w:rFonts w:cs="Arial"/>
    </w:rPr>
  </w:style>
  <w:style w:type="paragraph" w:customStyle="1" w:styleId="punto">
    <w:name w:val="punto"/>
    <w:basedOn w:val="Corpotesto"/>
    <w:link w:val="puntoCarattere"/>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before="17" w:after="17"/>
      <w:ind w:left="283" w:hanging="283"/>
      <w:jc w:val="both"/>
    </w:pPr>
    <w:rPr>
      <w:rFonts w:cs="Arial"/>
    </w:rPr>
  </w:style>
  <w:style w:type="character" w:customStyle="1" w:styleId="link">
    <w:name w:val="link"/>
    <w:uiPriority w:val="99"/>
    <w:rPr>
      <w:color w:val="0000FF"/>
      <w:u w:val="thick"/>
    </w:rPr>
  </w:style>
  <w:style w:type="paragraph" w:customStyle="1" w:styleId="Nessunostileparagrafo">
    <w:name w:val="[Nessuno stile paragrafo]"/>
    <w:pPr>
      <w:autoSpaceDE w:val="0"/>
      <w:autoSpaceDN w:val="0"/>
      <w:adjustRightInd w:val="0"/>
      <w:spacing w:after="0" w:line="288" w:lineRule="auto"/>
      <w:textAlignment w:val="center"/>
    </w:pPr>
    <w:rPr>
      <w:rFonts w:ascii="Times New Roman" w:eastAsia="Calibri" w:hAnsi="Times New Roman" w:cs="Times New Roman"/>
      <w:color w:val="000000"/>
      <w:sz w:val="24"/>
      <w:szCs w:val="24"/>
      <w:lang w:eastAsia="it-IT"/>
    </w:rPr>
  </w:style>
  <w:style w:type="paragraph" w:customStyle="1" w:styleId="Scadoggetto">
    <w:name w:val="Scad oggetto"/>
    <w:basedOn w:val="Nessunostileparagrafo"/>
    <w:uiPriority w:val="99"/>
    <w:pPr>
      <w:keepNext/>
      <w:suppressAutoHyphens/>
      <w:jc w:val="center"/>
    </w:pPr>
    <w:rPr>
      <w:rFonts w:ascii="Arial" w:hAnsi="Arial" w:cs="Arial"/>
      <w:b/>
      <w:bCs/>
      <w:smallCaps/>
      <w:sz w:val="20"/>
      <w:szCs w:val="20"/>
    </w:rPr>
  </w:style>
  <w:style w:type="paragraph" w:customStyle="1" w:styleId="Sintesi">
    <w:name w:val="Sintesi"/>
    <w:basedOn w:val="Nessunostileparagrafo"/>
    <w:uiPriority w:val="99"/>
    <w:pPr>
      <w:suppressAutoHyphens/>
      <w:spacing w:before="40" w:line="260" w:lineRule="atLeast"/>
      <w:ind w:left="289"/>
      <w:jc w:val="both"/>
    </w:pPr>
    <w:rPr>
      <w:rFonts w:ascii="Arial" w:hAnsi="Arial" w:cs="Arial"/>
      <w:i/>
      <w:iCs/>
      <w:sz w:val="22"/>
      <w:szCs w:val="22"/>
    </w:rPr>
  </w:style>
  <w:style w:type="paragraph" w:customStyle="1" w:styleId="Titoletto">
    <w:name w:val="Titoletto"/>
    <w:basedOn w:val="Nessunostileparagrafo"/>
    <w:uiPriority w:val="99"/>
    <w:pPr>
      <w:suppressAutoHyphens/>
      <w:jc w:val="center"/>
    </w:pPr>
    <w:rPr>
      <w:rFonts w:ascii="Arial" w:hAnsi="Arial" w:cs="Arial"/>
      <w:b/>
      <w:bCs/>
      <w:sz w:val="22"/>
      <w:szCs w:val="22"/>
    </w:rPr>
  </w:style>
  <w:style w:type="paragraph" w:customStyle="1" w:styleId="Scadtesto">
    <w:name w:val="Scad testo"/>
    <w:basedOn w:val="Nessunostileparagrafo"/>
    <w:uiPriority w:val="99"/>
    <w:pPr>
      <w:suppressAutoHyphens/>
      <w:jc w:val="both"/>
    </w:pPr>
    <w:rPr>
      <w:rFonts w:ascii="Arial" w:hAnsi="Arial" w:cs="Arial"/>
      <w:sz w:val="20"/>
      <w:szCs w:val="20"/>
    </w:rPr>
  </w:style>
  <w:style w:type="paragraph" w:customStyle="1" w:styleId="Titolo30">
    <w:name w:val="Titolo3"/>
    <w:basedOn w:val="Nessunostileparagrafo"/>
    <w:uiPriority w:val="99"/>
    <w:pPr>
      <w:suppressAutoHyphens/>
      <w:jc w:val="center"/>
    </w:pPr>
    <w:rPr>
      <w:rFonts w:ascii="Arial" w:hAnsi="Arial" w:cs="Arial"/>
      <w:b/>
      <w:bCs/>
      <w:sz w:val="22"/>
      <w:szCs w:val="22"/>
    </w:rPr>
  </w:style>
  <w:style w:type="paragraph" w:customStyle="1" w:styleId="R50">
    <w:name w:val="R50"/>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after="28"/>
      <w:ind w:left="283"/>
      <w:jc w:val="both"/>
    </w:pPr>
    <w:rPr>
      <w:rFonts w:ascii="Arial" w:hAnsi="Arial" w:cs="Arial"/>
    </w:rPr>
  </w:style>
  <w:style w:type="paragraph" w:customStyle="1" w:styleId="trattino500">
    <w:name w:val="trattino50"/>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before="17" w:after="28"/>
      <w:ind w:left="454" w:hanging="170"/>
      <w:jc w:val="both"/>
    </w:pPr>
    <w:rPr>
      <w:rFonts w:ascii="Arial" w:hAnsi="Arial" w:cs="Arial"/>
    </w:rPr>
  </w:style>
  <w:style w:type="paragraph" w:customStyle="1" w:styleId="trattino">
    <w:name w:val="trattino"/>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before="17" w:after="28"/>
      <w:ind w:left="283" w:hanging="283"/>
      <w:jc w:val="both"/>
    </w:pPr>
    <w:rPr>
      <w:rFonts w:ascii="Arial" w:hAnsi="Arial" w:cs="Arial"/>
    </w:rPr>
  </w:style>
  <w:style w:type="paragraph" w:customStyle="1" w:styleId="Estremo">
    <w:name w:val="Estremo"/>
    <w:basedOn w:val="Nessunostileparagrafo"/>
    <w:uiPriority w:val="99"/>
    <w:pPr>
      <w:tabs>
        <w:tab w:val="left" w:pos="2437"/>
        <w:tab w:val="right" w:pos="3304"/>
      </w:tabs>
      <w:suppressAutoHyphens/>
      <w:jc w:val="center"/>
    </w:pPr>
    <w:rPr>
      <w:rFonts w:ascii="Arial" w:hAnsi="Arial" w:cs="Arial"/>
      <w:b/>
      <w:bCs/>
      <w:i/>
      <w:iCs/>
      <w:w w:val="90"/>
    </w:rPr>
  </w:style>
  <w:style w:type="character" w:customStyle="1" w:styleId="A7">
    <w:name w:val="A7"/>
    <w:uiPriority w:val="99"/>
    <w:rPr>
      <w:color w:val="000000"/>
      <w:sz w:val="21"/>
      <w:szCs w:val="21"/>
    </w:rPr>
  </w:style>
  <w:style w:type="character" w:customStyle="1" w:styleId="A8">
    <w:name w:val="A8"/>
    <w:uiPriority w:val="99"/>
    <w:rPr>
      <w:color w:val="000000"/>
      <w:sz w:val="21"/>
      <w:szCs w:val="21"/>
    </w:rPr>
  </w:style>
  <w:style w:type="paragraph" w:customStyle="1" w:styleId="Pa24">
    <w:name w:val="Pa24"/>
    <w:basedOn w:val="Default"/>
    <w:next w:val="Default"/>
    <w:uiPriority w:val="99"/>
    <w:pPr>
      <w:spacing w:line="221" w:lineRule="atLeast"/>
    </w:pPr>
    <w:rPr>
      <w:rFonts w:eastAsia="Calibri"/>
      <w:color w:val="auto"/>
      <w:lang w:eastAsia="it-IT"/>
    </w:rPr>
  </w:style>
  <w:style w:type="paragraph" w:customStyle="1" w:styleId="Pa9">
    <w:name w:val="Pa9"/>
    <w:basedOn w:val="Default"/>
    <w:next w:val="Default"/>
    <w:uiPriority w:val="99"/>
    <w:pPr>
      <w:spacing w:line="221" w:lineRule="atLeast"/>
    </w:pPr>
    <w:rPr>
      <w:rFonts w:eastAsia="Calibri"/>
      <w:color w:val="auto"/>
      <w:lang w:eastAsia="it-IT"/>
    </w:rPr>
  </w:style>
  <w:style w:type="character" w:customStyle="1" w:styleId="A5">
    <w:name w:val="A5"/>
    <w:uiPriority w:val="99"/>
    <w:rPr>
      <w:color w:val="000000"/>
      <w:sz w:val="22"/>
      <w:szCs w:val="22"/>
      <w:u w:val="single"/>
    </w:rPr>
  </w:style>
  <w:style w:type="paragraph" w:customStyle="1" w:styleId="Pa14">
    <w:name w:val="Pa14"/>
    <w:basedOn w:val="Default"/>
    <w:next w:val="Default"/>
    <w:uiPriority w:val="99"/>
    <w:pPr>
      <w:spacing w:line="221" w:lineRule="atLeast"/>
    </w:pPr>
    <w:rPr>
      <w:rFonts w:eastAsia="Calibri"/>
      <w:color w:val="auto"/>
      <w:lang w:eastAsia="it-IT"/>
    </w:rPr>
  </w:style>
  <w:style w:type="paragraph" w:customStyle="1" w:styleId="Pa15">
    <w:name w:val="Pa15"/>
    <w:basedOn w:val="Default"/>
    <w:next w:val="Default"/>
    <w:uiPriority w:val="99"/>
    <w:pPr>
      <w:spacing w:line="221" w:lineRule="atLeast"/>
    </w:pPr>
    <w:rPr>
      <w:rFonts w:eastAsia="Calibri"/>
      <w:color w:val="auto"/>
      <w:lang w:eastAsia="it-IT"/>
    </w:rPr>
  </w:style>
  <w:style w:type="paragraph" w:customStyle="1" w:styleId="Pa10">
    <w:name w:val="Pa10"/>
    <w:basedOn w:val="Default"/>
    <w:next w:val="Default"/>
    <w:uiPriority w:val="99"/>
    <w:pPr>
      <w:spacing w:line="221" w:lineRule="atLeast"/>
    </w:pPr>
    <w:rPr>
      <w:rFonts w:eastAsia="Calibri"/>
      <w:color w:val="auto"/>
      <w:lang w:eastAsia="it-IT"/>
    </w:rPr>
  </w:style>
  <w:style w:type="paragraph" w:customStyle="1" w:styleId="Pa27">
    <w:name w:val="Pa27"/>
    <w:basedOn w:val="Default"/>
    <w:next w:val="Default"/>
    <w:uiPriority w:val="99"/>
    <w:pPr>
      <w:spacing w:line="221" w:lineRule="atLeast"/>
    </w:pPr>
    <w:rPr>
      <w:rFonts w:eastAsia="Calibri"/>
      <w:color w:val="auto"/>
      <w:lang w:eastAsia="it-IT"/>
    </w:rPr>
  </w:style>
  <w:style w:type="character" w:customStyle="1" w:styleId="A0">
    <w:name w:val="A0"/>
    <w:uiPriority w:val="99"/>
    <w:rPr>
      <w:color w:val="000000"/>
      <w:sz w:val="20"/>
      <w:szCs w:val="20"/>
    </w:rPr>
  </w:style>
  <w:style w:type="paragraph" w:customStyle="1" w:styleId="Pa6">
    <w:name w:val="Pa6"/>
    <w:basedOn w:val="Default"/>
    <w:next w:val="Default"/>
    <w:uiPriority w:val="99"/>
    <w:pPr>
      <w:spacing w:line="221" w:lineRule="atLeast"/>
    </w:pPr>
    <w:rPr>
      <w:rFonts w:eastAsia="Calibri"/>
      <w:color w:val="auto"/>
      <w:lang w:eastAsia="it-IT"/>
    </w:rPr>
  </w:style>
  <w:style w:type="character" w:customStyle="1" w:styleId="A6">
    <w:name w:val="A6"/>
    <w:uiPriority w:val="99"/>
    <w:rPr>
      <w:rFonts w:ascii="ZapfDingbats BT" w:hAnsi="ZapfDingbats BT" w:cs="ZapfDingbats BT"/>
      <w:color w:val="000000"/>
      <w:sz w:val="10"/>
      <w:szCs w:val="10"/>
    </w:rPr>
  </w:style>
  <w:style w:type="paragraph" w:customStyle="1" w:styleId="Pa8">
    <w:name w:val="Pa8"/>
    <w:basedOn w:val="Default"/>
    <w:next w:val="Default"/>
    <w:uiPriority w:val="99"/>
    <w:pPr>
      <w:spacing w:line="221" w:lineRule="atLeast"/>
    </w:pPr>
    <w:rPr>
      <w:rFonts w:eastAsia="Calibri"/>
      <w:color w:val="auto"/>
      <w:lang w:eastAsia="it-IT"/>
    </w:rPr>
  </w:style>
  <w:style w:type="paragraph" w:customStyle="1" w:styleId="Pa18">
    <w:name w:val="Pa18"/>
    <w:basedOn w:val="Default"/>
    <w:next w:val="Default"/>
    <w:uiPriority w:val="99"/>
    <w:pPr>
      <w:spacing w:line="221" w:lineRule="atLeast"/>
    </w:pPr>
    <w:rPr>
      <w:rFonts w:eastAsia="Calibri"/>
      <w:color w:val="auto"/>
      <w:lang w:eastAsia="it-IT"/>
    </w:rPr>
  </w:style>
  <w:style w:type="paragraph" w:customStyle="1" w:styleId="Pa23">
    <w:name w:val="Pa23"/>
    <w:basedOn w:val="Default"/>
    <w:next w:val="Default"/>
    <w:uiPriority w:val="99"/>
    <w:pPr>
      <w:spacing w:line="221" w:lineRule="atLeast"/>
    </w:pPr>
    <w:rPr>
      <w:rFonts w:eastAsia="Calibri"/>
      <w:color w:val="auto"/>
      <w:lang w:eastAsia="it-IT"/>
    </w:rPr>
  </w:style>
  <w:style w:type="paragraph" w:customStyle="1" w:styleId="Pa25">
    <w:name w:val="Pa25"/>
    <w:basedOn w:val="Default"/>
    <w:next w:val="Default"/>
    <w:uiPriority w:val="99"/>
    <w:pPr>
      <w:spacing w:line="221" w:lineRule="atLeast"/>
    </w:pPr>
    <w:rPr>
      <w:rFonts w:eastAsia="Calibri"/>
      <w:color w:val="auto"/>
      <w:lang w:eastAsia="it-IT"/>
    </w:rPr>
  </w:style>
  <w:style w:type="character" w:customStyle="1" w:styleId="A9">
    <w:name w:val="A9"/>
    <w:uiPriority w:val="99"/>
    <w:rPr>
      <w:color w:val="000000"/>
      <w:sz w:val="21"/>
      <w:szCs w:val="21"/>
    </w:rPr>
  </w:style>
  <w:style w:type="paragraph" w:customStyle="1" w:styleId="Pa36">
    <w:name w:val="Pa36"/>
    <w:basedOn w:val="Default"/>
    <w:next w:val="Default"/>
    <w:uiPriority w:val="99"/>
    <w:pPr>
      <w:spacing w:line="241" w:lineRule="atLeast"/>
    </w:pPr>
    <w:rPr>
      <w:rFonts w:eastAsia="Calibri"/>
      <w:color w:val="auto"/>
      <w:lang w:eastAsia="it-IT"/>
    </w:rPr>
  </w:style>
  <w:style w:type="character" w:customStyle="1" w:styleId="A2">
    <w:name w:val="A2"/>
    <w:uiPriority w:val="99"/>
    <w:rPr>
      <w:color w:val="000000"/>
      <w:sz w:val="22"/>
      <w:szCs w:val="22"/>
    </w:rPr>
  </w:style>
  <w:style w:type="character" w:customStyle="1" w:styleId="A4">
    <w:name w:val="A4"/>
    <w:uiPriority w:val="99"/>
    <w:rPr>
      <w:rFonts w:ascii="Arial Narrow" w:hAnsi="Arial Narrow" w:cs="Arial Narrow"/>
      <w:color w:val="000000"/>
      <w:sz w:val="22"/>
      <w:szCs w:val="22"/>
    </w:rPr>
  </w:style>
  <w:style w:type="character" w:customStyle="1" w:styleId="A11">
    <w:name w:val="A11"/>
    <w:uiPriority w:val="99"/>
    <w:rPr>
      <w:color w:val="000000"/>
      <w:sz w:val="21"/>
      <w:szCs w:val="21"/>
    </w:rPr>
  </w:style>
  <w:style w:type="paragraph" w:customStyle="1" w:styleId="Pa45">
    <w:name w:val="Pa45"/>
    <w:basedOn w:val="Default"/>
    <w:next w:val="Default"/>
    <w:uiPriority w:val="99"/>
    <w:pPr>
      <w:spacing w:line="221" w:lineRule="atLeast"/>
    </w:pPr>
    <w:rPr>
      <w:rFonts w:eastAsia="Calibri"/>
      <w:color w:val="auto"/>
      <w:lang w:eastAsia="it-IT"/>
    </w:rPr>
  </w:style>
  <w:style w:type="paragraph" w:customStyle="1" w:styleId="Pa11">
    <w:name w:val="Pa11"/>
    <w:basedOn w:val="Default"/>
    <w:next w:val="Default"/>
    <w:uiPriority w:val="99"/>
    <w:pPr>
      <w:spacing w:line="221" w:lineRule="atLeast"/>
    </w:pPr>
    <w:rPr>
      <w:rFonts w:eastAsia="Calibri"/>
      <w:color w:val="auto"/>
      <w:lang w:eastAsia="it-IT"/>
    </w:rPr>
  </w:style>
  <w:style w:type="paragraph" w:customStyle="1" w:styleId="Pa19">
    <w:name w:val="Pa19"/>
    <w:basedOn w:val="Default"/>
    <w:next w:val="Default"/>
    <w:uiPriority w:val="99"/>
    <w:pPr>
      <w:spacing w:line="221" w:lineRule="atLeast"/>
    </w:pPr>
    <w:rPr>
      <w:rFonts w:eastAsia="Calibri"/>
      <w:color w:val="auto"/>
      <w:lang w:eastAsia="it-IT"/>
    </w:rPr>
  </w:style>
  <w:style w:type="paragraph" w:customStyle="1" w:styleId="Pa22">
    <w:name w:val="Pa22"/>
    <w:basedOn w:val="Default"/>
    <w:next w:val="Default"/>
    <w:uiPriority w:val="99"/>
    <w:pPr>
      <w:spacing w:line="221" w:lineRule="atLeast"/>
    </w:pPr>
    <w:rPr>
      <w:rFonts w:eastAsia="Calibri"/>
      <w:color w:val="auto"/>
      <w:lang w:eastAsia="it-IT"/>
    </w:rPr>
  </w:style>
  <w:style w:type="paragraph" w:customStyle="1" w:styleId="Sintesitrattino">
    <w:name w:val="Sintesi trattino"/>
    <w:basedOn w:val="Nessunostileparagrafo"/>
    <w:uiPriority w:val="99"/>
    <w:pPr>
      <w:suppressAutoHyphens/>
      <w:spacing w:before="20" w:line="260" w:lineRule="atLeast"/>
      <w:ind w:left="573" w:hanging="295"/>
      <w:jc w:val="both"/>
    </w:pPr>
    <w:rPr>
      <w:rFonts w:ascii="Arial" w:hAnsi="Arial" w:cs="Arial"/>
      <w:i/>
      <w:iCs/>
      <w:sz w:val="22"/>
      <w:szCs w:val="22"/>
    </w:rPr>
  </w:style>
  <w:style w:type="paragraph" w:customStyle="1" w:styleId="Titolo50">
    <w:name w:val="Titolo5"/>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before="170" w:after="28"/>
      <w:jc w:val="both"/>
    </w:pPr>
    <w:rPr>
      <w:rFonts w:ascii="Arial" w:hAnsi="Arial" w:cs="Arial"/>
      <w:b/>
      <w:bCs/>
      <w:i/>
      <w:iCs/>
      <w:sz w:val="24"/>
      <w:szCs w:val="24"/>
    </w:rPr>
  </w:style>
  <w:style w:type="paragraph" w:styleId="Nessunaspaziatura">
    <w:name w:val="No Spacing"/>
    <w:uiPriority w:val="1"/>
    <w:pPr>
      <w:suppressAutoHyphens/>
      <w:autoSpaceDE w:val="0"/>
      <w:autoSpaceDN w:val="0"/>
      <w:adjustRightInd w:val="0"/>
      <w:spacing w:after="0" w:line="240" w:lineRule="auto"/>
      <w:textAlignment w:val="center"/>
    </w:pPr>
    <w:rPr>
      <w:rFonts w:ascii="Calibri" w:eastAsia="Calibri" w:hAnsi="Calibri" w:cs="Calibri"/>
      <w:color w:val="000000"/>
      <w:lang w:eastAsia="it-IT"/>
    </w:rPr>
  </w:style>
  <w:style w:type="paragraph" w:customStyle="1" w:styleId="Titolo40">
    <w:name w:val="Titolo4"/>
    <w:basedOn w:val="Titolo30"/>
    <w:uiPriority w:val="99"/>
    <w:pPr>
      <w:pBdr>
        <w:bottom w:val="single" w:sz="12" w:space="2" w:color="000000"/>
      </w:pBdr>
      <w:spacing w:before="170" w:after="85"/>
      <w:jc w:val="left"/>
    </w:pPr>
    <w:rPr>
      <w:caps/>
    </w:rPr>
  </w:style>
  <w:style w:type="paragraph" w:customStyle="1" w:styleId="Pa16">
    <w:name w:val="Pa16"/>
    <w:basedOn w:val="Default"/>
    <w:next w:val="Default"/>
    <w:uiPriority w:val="99"/>
    <w:pPr>
      <w:spacing w:line="221" w:lineRule="atLeast"/>
    </w:pPr>
    <w:rPr>
      <w:rFonts w:eastAsia="Calibri"/>
      <w:color w:val="auto"/>
      <w:lang w:eastAsia="it-IT"/>
    </w:rPr>
  </w:style>
  <w:style w:type="paragraph" w:customStyle="1" w:styleId="Pa13">
    <w:name w:val="Pa13"/>
    <w:basedOn w:val="Default"/>
    <w:next w:val="Default"/>
    <w:uiPriority w:val="99"/>
    <w:pPr>
      <w:spacing w:line="221" w:lineRule="atLeast"/>
    </w:pPr>
    <w:rPr>
      <w:rFonts w:eastAsia="Calibri"/>
      <w:color w:val="auto"/>
      <w:lang w:eastAsia="it-IT"/>
    </w:rPr>
  </w:style>
  <w:style w:type="paragraph" w:customStyle="1" w:styleId="Pa12">
    <w:name w:val="Pa12"/>
    <w:basedOn w:val="Default"/>
    <w:next w:val="Default"/>
    <w:uiPriority w:val="99"/>
    <w:pPr>
      <w:spacing w:line="221" w:lineRule="atLeast"/>
    </w:pPr>
    <w:rPr>
      <w:rFonts w:eastAsia="Calibri"/>
      <w:color w:val="auto"/>
      <w:lang w:eastAsia="it-IT"/>
    </w:rPr>
  </w:style>
  <w:style w:type="paragraph" w:customStyle="1" w:styleId="Pa17">
    <w:name w:val="Pa17"/>
    <w:basedOn w:val="Default"/>
    <w:next w:val="Default"/>
    <w:uiPriority w:val="99"/>
    <w:pPr>
      <w:spacing w:line="221" w:lineRule="atLeast"/>
    </w:pPr>
    <w:rPr>
      <w:rFonts w:eastAsia="Calibri"/>
      <w:color w:val="auto"/>
      <w:lang w:eastAsia="it-IT"/>
    </w:rPr>
  </w:style>
  <w:style w:type="paragraph" w:customStyle="1" w:styleId="Pa21">
    <w:name w:val="Pa21"/>
    <w:basedOn w:val="Default"/>
    <w:next w:val="Default"/>
    <w:uiPriority w:val="99"/>
    <w:pPr>
      <w:spacing w:line="221" w:lineRule="atLeast"/>
    </w:pPr>
    <w:rPr>
      <w:rFonts w:eastAsia="Calibri"/>
      <w:color w:val="auto"/>
      <w:lang w:eastAsia="it-IT"/>
    </w:rPr>
  </w:style>
  <w:style w:type="paragraph" w:styleId="Didascalia">
    <w:name w:val="caption"/>
    <w:basedOn w:val="Normale"/>
    <w:next w:val="Normale"/>
    <w:qFormat/>
    <w:pPr>
      <w:spacing w:after="0" w:line="240" w:lineRule="auto"/>
    </w:pPr>
    <w:rPr>
      <w:rFonts w:ascii="Arial Narrow" w:eastAsia="Times New Roman" w:hAnsi="Arial Narrow" w:cs="Times New Roman"/>
      <w:b/>
      <w:i/>
      <w:sz w:val="20"/>
      <w:szCs w:val="24"/>
      <w:lang w:eastAsia="it-IT"/>
    </w:rPr>
  </w:style>
  <w:style w:type="paragraph" w:customStyle="1" w:styleId="Corpodeltesto23">
    <w:name w:val="Corpo del testo 23"/>
    <w:basedOn w:val="Normale"/>
    <w:pPr>
      <w:widowControl w:val="0"/>
      <w:spacing w:after="0" w:line="240" w:lineRule="auto"/>
      <w:jc w:val="both"/>
    </w:pPr>
    <w:rPr>
      <w:rFonts w:ascii="Arial" w:eastAsia="Times New Roman" w:hAnsi="Arial" w:cs="Times New Roman"/>
    </w:rPr>
  </w:style>
  <w:style w:type="paragraph" w:customStyle="1" w:styleId="Pa28">
    <w:name w:val="Pa28"/>
    <w:basedOn w:val="Default"/>
    <w:next w:val="Default"/>
    <w:uiPriority w:val="99"/>
    <w:pPr>
      <w:spacing w:line="221" w:lineRule="atLeast"/>
    </w:pPr>
    <w:rPr>
      <w:rFonts w:eastAsia="Calibri"/>
      <w:color w:val="auto"/>
      <w:lang w:eastAsia="it-IT"/>
    </w:rPr>
  </w:style>
  <w:style w:type="paragraph" w:customStyle="1" w:styleId="Scadgiorno">
    <w:name w:val="Scad giorno"/>
    <w:basedOn w:val="Nessunostileparagrafo"/>
    <w:uiPriority w:val="99"/>
    <w:pPr>
      <w:suppressAutoHyphens/>
      <w:spacing w:before="20" w:after="20"/>
      <w:jc w:val="center"/>
    </w:pPr>
    <w:rPr>
      <w:rFonts w:ascii="Arial" w:hAnsi="Arial" w:cs="Arial"/>
      <w:b/>
      <w:bCs/>
      <w:i/>
      <w:iCs/>
    </w:rPr>
  </w:style>
  <w:style w:type="paragraph" w:customStyle="1" w:styleId="Pa5">
    <w:name w:val="Pa5"/>
    <w:basedOn w:val="Default"/>
    <w:next w:val="Default"/>
    <w:uiPriority w:val="99"/>
    <w:pPr>
      <w:spacing w:line="221" w:lineRule="atLeast"/>
    </w:pPr>
    <w:rPr>
      <w:rFonts w:eastAsia="Calibri"/>
      <w:color w:val="auto"/>
      <w:lang w:eastAsia="it-IT"/>
    </w:rPr>
  </w:style>
  <w:style w:type="character" w:customStyle="1" w:styleId="A3">
    <w:name w:val="A3"/>
    <w:uiPriority w:val="99"/>
    <w:rPr>
      <w:color w:val="000000"/>
      <w:sz w:val="20"/>
      <w:szCs w:val="20"/>
      <w:u w:val="single"/>
    </w:rPr>
  </w:style>
  <w:style w:type="paragraph" w:customStyle="1" w:styleId="Pa20">
    <w:name w:val="Pa20"/>
    <w:basedOn w:val="Default"/>
    <w:next w:val="Default"/>
    <w:uiPriority w:val="99"/>
    <w:pPr>
      <w:spacing w:line="221" w:lineRule="atLeast"/>
    </w:pPr>
    <w:rPr>
      <w:rFonts w:eastAsia="Calibri"/>
      <w:color w:val="auto"/>
      <w:lang w:eastAsia="it-IT"/>
    </w:rPr>
  </w:style>
  <w:style w:type="paragraph" w:customStyle="1" w:styleId="Pa29">
    <w:name w:val="Pa29"/>
    <w:basedOn w:val="Default"/>
    <w:next w:val="Default"/>
    <w:uiPriority w:val="99"/>
    <w:pPr>
      <w:spacing w:line="221" w:lineRule="atLeast"/>
    </w:pPr>
    <w:rPr>
      <w:rFonts w:eastAsia="Calibri"/>
      <w:color w:val="auto"/>
      <w:lang w:eastAsia="it-IT"/>
    </w:rPr>
  </w:style>
  <w:style w:type="paragraph" w:customStyle="1" w:styleId="Pa30">
    <w:name w:val="Pa30"/>
    <w:basedOn w:val="Default"/>
    <w:next w:val="Default"/>
    <w:uiPriority w:val="99"/>
    <w:pPr>
      <w:spacing w:line="221" w:lineRule="atLeast"/>
    </w:pPr>
    <w:rPr>
      <w:rFonts w:eastAsia="Calibri"/>
      <w:color w:val="auto"/>
      <w:lang w:eastAsia="it-IT"/>
    </w:rPr>
  </w:style>
  <w:style w:type="paragraph" w:customStyle="1" w:styleId="Pa33">
    <w:name w:val="Pa33"/>
    <w:basedOn w:val="Default"/>
    <w:next w:val="Default"/>
    <w:uiPriority w:val="99"/>
    <w:pPr>
      <w:spacing w:line="221" w:lineRule="atLeast"/>
    </w:pPr>
    <w:rPr>
      <w:rFonts w:eastAsia="Calibri"/>
      <w:color w:val="auto"/>
      <w:lang w:eastAsia="it-IT"/>
    </w:rPr>
  </w:style>
  <w:style w:type="paragraph" w:customStyle="1" w:styleId="Pa2">
    <w:name w:val="Pa2"/>
    <w:basedOn w:val="Default"/>
    <w:next w:val="Default"/>
    <w:uiPriority w:val="99"/>
    <w:pPr>
      <w:spacing w:line="221" w:lineRule="atLeast"/>
    </w:pPr>
    <w:rPr>
      <w:rFonts w:eastAsia="Calibri"/>
      <w:color w:val="auto"/>
      <w:lang w:eastAsia="it-IT"/>
    </w:rPr>
  </w:style>
  <w:style w:type="paragraph" w:customStyle="1" w:styleId="Titolo20">
    <w:name w:val="Titolo2"/>
    <w:basedOn w:val="Nessunostileparagrafo"/>
    <w:uiPriority w:val="99"/>
    <w:pPr>
      <w:keepNext/>
      <w:suppressAutoHyphens/>
      <w:ind w:left="14" w:firstLine="14"/>
      <w:jc w:val="center"/>
    </w:pPr>
    <w:rPr>
      <w:rFonts w:ascii="Arial" w:hAnsi="Arial" w:cs="Arial"/>
      <w:b/>
      <w:bCs/>
      <w:spacing w:val="-2"/>
      <w:sz w:val="28"/>
      <w:szCs w:val="28"/>
    </w:rPr>
  </w:style>
  <w:style w:type="paragraph" w:customStyle="1" w:styleId="Pa7">
    <w:name w:val="Pa7"/>
    <w:basedOn w:val="Default"/>
    <w:next w:val="Default"/>
    <w:uiPriority w:val="99"/>
    <w:pPr>
      <w:spacing w:line="221" w:lineRule="atLeast"/>
    </w:pPr>
    <w:rPr>
      <w:rFonts w:eastAsia="Calibri"/>
      <w:color w:val="auto"/>
      <w:lang w:eastAsia="it-IT"/>
    </w:rPr>
  </w:style>
  <w:style w:type="character" w:customStyle="1" w:styleId="A1">
    <w:name w:val="A1"/>
    <w:uiPriority w:val="99"/>
    <w:rPr>
      <w:color w:val="000000"/>
      <w:sz w:val="22"/>
      <w:szCs w:val="22"/>
    </w:rPr>
  </w:style>
  <w:style w:type="paragraph" w:customStyle="1" w:styleId="Schemacentrato">
    <w:name w:val="Schema centrato"/>
    <w:basedOn w:val="Nessunostileparagrafo"/>
    <w:uiPriority w:val="99"/>
    <w:pPr>
      <w:suppressAutoHyphens/>
      <w:spacing w:line="220" w:lineRule="atLeast"/>
      <w:jc w:val="center"/>
    </w:pPr>
    <w:rPr>
      <w:rFonts w:ascii="MyriadPro-Regular" w:hAnsi="MyriadPro-Regular" w:cs="MyriadPro-Regular"/>
      <w:sz w:val="18"/>
      <w:szCs w:val="18"/>
    </w:rPr>
  </w:style>
  <w:style w:type="paragraph" w:customStyle="1" w:styleId="Tab-Tit">
    <w:name w:val="Tab-Tit"/>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before="40" w:after="40"/>
      <w:jc w:val="center"/>
    </w:pPr>
    <w:rPr>
      <w:rFonts w:ascii="Arial" w:hAnsi="Arial" w:cs="Arial"/>
      <w:b/>
      <w:bCs/>
    </w:rPr>
  </w:style>
  <w:style w:type="paragraph" w:customStyle="1" w:styleId="TableText-c">
    <w:name w:val="Table Text-c"/>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after="0"/>
      <w:jc w:val="center"/>
    </w:pPr>
    <w:rPr>
      <w:rFonts w:ascii="Arial" w:hAnsi="Arial" w:cs="Arial"/>
    </w:rPr>
  </w:style>
  <w:style w:type="paragraph" w:styleId="Sottotitolo">
    <w:name w:val="Subtitle"/>
    <w:basedOn w:val="Normale"/>
    <w:next w:val="Normale"/>
    <w:link w:val="SottotitoloCarattere"/>
    <w:uiPriority w:val="11"/>
    <w:pPr>
      <w:suppressAutoHyphens/>
      <w:autoSpaceDE w:val="0"/>
      <w:autoSpaceDN w:val="0"/>
      <w:adjustRightInd w:val="0"/>
      <w:spacing w:after="60" w:line="288" w:lineRule="auto"/>
      <w:jc w:val="center"/>
      <w:textAlignment w:val="center"/>
      <w:outlineLvl w:val="1"/>
    </w:pPr>
    <w:rPr>
      <w:rFonts w:ascii="Calibri Light" w:eastAsia="Times New Roman" w:hAnsi="Calibri Light" w:cs="Times New Roman"/>
      <w:color w:val="000000"/>
      <w:sz w:val="24"/>
      <w:szCs w:val="24"/>
      <w:lang w:eastAsia="it-IT"/>
    </w:rPr>
  </w:style>
  <w:style w:type="character" w:customStyle="1" w:styleId="SottotitoloCarattere">
    <w:name w:val="Sottotitolo Carattere"/>
    <w:basedOn w:val="Carpredefinitoparagrafo"/>
    <w:link w:val="Sottotitolo"/>
    <w:uiPriority w:val="11"/>
    <w:rPr>
      <w:rFonts w:ascii="Calibri Light" w:eastAsia="Times New Roman" w:hAnsi="Calibri Light" w:cs="Times New Roman"/>
      <w:color w:val="000000"/>
      <w:sz w:val="24"/>
      <w:szCs w:val="24"/>
      <w:lang w:eastAsia="it-IT"/>
    </w:rPr>
  </w:style>
  <w:style w:type="table" w:customStyle="1" w:styleId="TableNormal">
    <w:name w:val="Table Normal"/>
    <w:uiPriority w:val="2"/>
    <w:semiHidden/>
    <w:unhideWhenUsed/>
    <w:qFormat/>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pPr>
      <w:widowControl w:val="0"/>
      <w:autoSpaceDE w:val="0"/>
      <w:autoSpaceDN w:val="0"/>
      <w:spacing w:after="0" w:line="240" w:lineRule="auto"/>
    </w:pPr>
    <w:rPr>
      <w:rFonts w:ascii="Arial MT" w:eastAsia="Arial MT" w:hAnsi="Arial MT" w:cs="Arial MT"/>
    </w:rPr>
  </w:style>
  <w:style w:type="paragraph" w:customStyle="1" w:styleId="Pa1">
    <w:name w:val="Pa1"/>
    <w:basedOn w:val="Default"/>
    <w:next w:val="Default"/>
    <w:uiPriority w:val="99"/>
    <w:pPr>
      <w:spacing w:line="221" w:lineRule="atLeast"/>
    </w:pPr>
    <w:rPr>
      <w:rFonts w:eastAsia="Calibri"/>
      <w:color w:val="auto"/>
      <w:lang w:eastAsia="it-IT"/>
    </w:rPr>
  </w:style>
  <w:style w:type="character" w:customStyle="1" w:styleId="ding5">
    <w:name w:val="ding5"/>
    <w:uiPriority w:val="99"/>
    <w:rPr>
      <w:rFonts w:ascii="ZapfDingbatsITCbyBT-Regular" w:hAnsi="ZapfDingbatsITCbyBT-Regular" w:cs="ZapfDingbatsITCbyBT-Regular"/>
      <w:position w:val="4"/>
      <w:sz w:val="10"/>
      <w:szCs w:val="10"/>
    </w:rPr>
  </w:style>
  <w:style w:type="character" w:customStyle="1" w:styleId="quadratino">
    <w:name w:val="quadratino"/>
    <w:uiPriority w:val="99"/>
    <w:rPr>
      <w:rFonts w:ascii="Wingdings" w:hAnsi="Wingdings" w:cs="Wingdings"/>
    </w:rPr>
  </w:style>
  <w:style w:type="paragraph" w:customStyle="1" w:styleId="6p0">
    <w:name w:val="6p"/>
    <w:basedOn w:val="Nessunostileparagrafo"/>
    <w:uiPriority w:val="99"/>
    <w:pPr>
      <w:suppressAutoHyphens/>
      <w:spacing w:line="100" w:lineRule="atLeast"/>
    </w:pPr>
    <w:rPr>
      <w:rFonts w:ascii="Book Antiqua" w:hAnsi="Book Antiqua" w:cs="Book Antiqua"/>
      <w:sz w:val="10"/>
      <w:szCs w:val="10"/>
    </w:rPr>
  </w:style>
  <w:style w:type="paragraph" w:customStyle="1" w:styleId="end">
    <w:name w:val="end"/>
    <w:basedOn w:val="Nessunostileparagrafo"/>
    <w:uiPriority w:val="99"/>
    <w:pPr>
      <w:suppressAutoHyphens/>
      <w:jc w:val="both"/>
    </w:pPr>
    <w:rPr>
      <w:rFonts w:ascii="Wingdings" w:hAnsi="Wingdings" w:cs="Wingdings"/>
      <w:sz w:val="22"/>
      <w:szCs w:val="22"/>
    </w:rPr>
  </w:style>
  <w:style w:type="numbering" w:customStyle="1" w:styleId="a">
    <w:name w:val="a)"/>
    <w:uiPriority w:val="99"/>
    <w:pPr>
      <w:numPr>
        <w:numId w:val="3"/>
      </w:numPr>
    </w:pPr>
  </w:style>
  <w:style w:type="paragraph" w:customStyle="1" w:styleId="Riferimenti0">
    <w:name w:val="Riferimenti"/>
    <w:basedOn w:val="Nessunostileparagrafo"/>
    <w:uiPriority w:val="99"/>
    <w:pPr>
      <w:suppressAutoHyphens/>
      <w:ind w:left="529" w:hanging="245"/>
      <w:jc w:val="both"/>
    </w:pPr>
    <w:rPr>
      <w:rFonts w:ascii="Arial" w:hAnsi="Arial" w:cs="Arial"/>
      <w:b/>
      <w:bCs/>
      <w:sz w:val="22"/>
      <w:szCs w:val="22"/>
      <w:lang w:val="de-DE"/>
    </w:rPr>
  </w:style>
  <w:style w:type="paragraph" w:customStyle="1" w:styleId="Pa3">
    <w:name w:val="Pa3"/>
    <w:basedOn w:val="Default"/>
    <w:next w:val="Default"/>
    <w:uiPriority w:val="99"/>
    <w:pPr>
      <w:spacing w:line="221" w:lineRule="atLeast"/>
    </w:pPr>
    <w:rPr>
      <w:rFonts w:eastAsia="Calibri"/>
      <w:color w:val="auto"/>
      <w:lang w:eastAsia="it-IT"/>
    </w:rPr>
  </w:style>
  <w:style w:type="paragraph" w:customStyle="1" w:styleId="TITOLOMANFREDI">
    <w:name w:val="TITOLO MANFREDI"/>
    <w:basedOn w:val="Normale"/>
    <w:uiPriority w:val="99"/>
    <w:qFormat/>
    <w:pPr>
      <w:keepNext/>
      <w:widowControl w:val="0"/>
      <w:pBdr>
        <w:bottom w:val="single" w:sz="18" w:space="1" w:color="C0C0C0"/>
      </w:pBdr>
      <w:suppressAutoHyphens/>
      <w:autoSpaceDE w:val="0"/>
      <w:autoSpaceDN w:val="0"/>
      <w:adjustRightInd w:val="0"/>
      <w:spacing w:before="240" w:after="60" w:line="240" w:lineRule="auto"/>
      <w:jc w:val="center"/>
      <w:textAlignment w:val="center"/>
      <w:outlineLvl w:val="1"/>
    </w:pPr>
    <w:rPr>
      <w:rFonts w:ascii="Arial" w:eastAsia="Calibri" w:hAnsi="Arial" w:cs="Arial"/>
      <w:b/>
      <w:color w:val="000000"/>
      <w:lang w:eastAsia="it-IT"/>
    </w:rPr>
  </w:style>
  <w:style w:type="paragraph" w:customStyle="1" w:styleId="Puntoni">
    <w:name w:val="Puntoni"/>
    <w:basedOn w:val="punto"/>
    <w:link w:val="PuntoniCarattere"/>
    <w:uiPriority w:val="99"/>
    <w:qFormat/>
    <w:pPr>
      <w:numPr>
        <w:numId w:val="6"/>
      </w:numPr>
      <w:tabs>
        <w:tab w:val="clear" w:pos="283"/>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 w:val="clear" w:pos="5386"/>
        <w:tab w:val="clear" w:pos="5669"/>
        <w:tab w:val="clear" w:pos="5953"/>
        <w:tab w:val="clear" w:pos="6236"/>
        <w:tab w:val="clear" w:pos="6520"/>
        <w:tab w:val="clear" w:pos="6803"/>
        <w:tab w:val="clear" w:pos="7087"/>
        <w:tab w:val="clear" w:pos="7370"/>
        <w:tab w:val="clear" w:pos="7654"/>
        <w:tab w:val="clear" w:pos="7937"/>
        <w:tab w:val="clear" w:pos="8220"/>
        <w:tab w:val="clear" w:pos="8504"/>
        <w:tab w:val="clear" w:pos="8787"/>
        <w:tab w:val="clear" w:pos="9071"/>
        <w:tab w:val="clear" w:pos="9354"/>
      </w:tabs>
      <w:spacing w:before="30" w:after="0" w:line="240" w:lineRule="auto"/>
    </w:pPr>
    <w:rPr>
      <w:rFonts w:ascii="Arial" w:hAnsi="Arial"/>
      <w:bCs/>
    </w:rPr>
  </w:style>
  <w:style w:type="paragraph" w:customStyle="1" w:styleId="Trattino50">
    <w:name w:val="Trattino50"/>
    <w:basedOn w:val="Normale"/>
    <w:uiPriority w:val="99"/>
    <w:qFormat/>
    <w:pPr>
      <w:numPr>
        <w:ilvl w:val="1"/>
        <w:numId w:val="4"/>
      </w:numPr>
      <w:tabs>
        <w:tab w:val="left" w:pos="283"/>
        <w:tab w:val="left" w:pos="567"/>
        <w:tab w:val="left" w:pos="850"/>
        <w:tab w:val="left" w:pos="1134"/>
        <w:tab w:val="left" w:pos="1417"/>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autoSpaceDE w:val="0"/>
      <w:autoSpaceDN w:val="0"/>
      <w:adjustRightInd w:val="0"/>
      <w:spacing w:before="17" w:after="28" w:line="221" w:lineRule="atLeast"/>
      <w:ind w:left="567" w:hanging="141"/>
      <w:jc w:val="both"/>
    </w:pPr>
    <w:rPr>
      <w:rFonts w:ascii="Arial" w:eastAsia="Calibri" w:hAnsi="Arial" w:cs="Arial"/>
      <w:color w:val="000000"/>
      <w:lang w:eastAsia="it-IT"/>
    </w:rPr>
  </w:style>
  <w:style w:type="paragraph" w:customStyle="1" w:styleId="Testo">
    <w:name w:val="Testo"/>
    <w:basedOn w:val="Normale"/>
    <w:uiPriority w:val="99"/>
    <w:qFormat/>
    <w:pPr>
      <w:tabs>
        <w:tab w:val="left" w:pos="0"/>
        <w:tab w:val="left" w:pos="283"/>
        <w:tab w:val="left" w:pos="850"/>
        <w:tab w:val="left" w:pos="1134"/>
        <w:tab w:val="left" w:pos="1417"/>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autoSpaceDE w:val="0"/>
      <w:autoSpaceDN w:val="0"/>
      <w:adjustRightInd w:val="0"/>
      <w:spacing w:before="17" w:after="28" w:line="221" w:lineRule="atLeast"/>
      <w:jc w:val="both"/>
    </w:pPr>
    <w:rPr>
      <w:rFonts w:ascii="Arial" w:eastAsia="Calibri" w:hAnsi="Arial" w:cs="Arial"/>
      <w:color w:val="211D1E"/>
      <w:lang w:eastAsia="it-IT"/>
    </w:rPr>
  </w:style>
  <w:style w:type="character" w:styleId="Enfasidelicata">
    <w:name w:val="Subtle Emphasis"/>
    <w:uiPriority w:val="19"/>
    <w:rPr>
      <w:i/>
      <w:iCs/>
      <w:color w:val="404040"/>
    </w:rPr>
  </w:style>
  <w:style w:type="paragraph" w:customStyle="1" w:styleId="Pa37">
    <w:name w:val="Pa37"/>
    <w:basedOn w:val="Default"/>
    <w:next w:val="Default"/>
    <w:uiPriority w:val="99"/>
    <w:pPr>
      <w:spacing w:line="221" w:lineRule="atLeast"/>
    </w:pPr>
    <w:rPr>
      <w:rFonts w:eastAsia="Calibri"/>
      <w:color w:val="auto"/>
      <w:lang w:eastAsia="it-IT"/>
    </w:rPr>
  </w:style>
  <w:style w:type="paragraph" w:customStyle="1" w:styleId="Pa26">
    <w:name w:val="Pa26"/>
    <w:basedOn w:val="Default"/>
    <w:next w:val="Default"/>
    <w:uiPriority w:val="99"/>
    <w:pPr>
      <w:spacing w:line="221" w:lineRule="atLeast"/>
    </w:pPr>
    <w:rPr>
      <w:rFonts w:eastAsia="Calibri"/>
      <w:color w:val="auto"/>
      <w:lang w:eastAsia="it-IT"/>
    </w:rPr>
  </w:style>
  <w:style w:type="paragraph" w:customStyle="1" w:styleId="Pa38">
    <w:name w:val="Pa38"/>
    <w:basedOn w:val="Default"/>
    <w:next w:val="Default"/>
    <w:uiPriority w:val="99"/>
    <w:pPr>
      <w:spacing w:line="221" w:lineRule="atLeast"/>
    </w:pPr>
    <w:rPr>
      <w:rFonts w:eastAsia="Calibri"/>
      <w:color w:val="auto"/>
      <w:lang w:eastAsia="it-IT"/>
    </w:rPr>
  </w:style>
  <w:style w:type="paragraph" w:customStyle="1" w:styleId="Corpodeltesto24">
    <w:name w:val="Corpo del testo 24"/>
    <w:basedOn w:val="Normale"/>
    <w:pPr>
      <w:widowControl w:val="0"/>
      <w:spacing w:after="0" w:line="240" w:lineRule="auto"/>
      <w:jc w:val="both"/>
    </w:pPr>
    <w:rPr>
      <w:rFonts w:ascii="Arial" w:eastAsia="Times New Roman" w:hAnsi="Arial" w:cs="Times New Roman"/>
    </w:rPr>
  </w:style>
  <w:style w:type="paragraph" w:customStyle="1" w:styleId="Scadenziariosinistra">
    <w:name w:val="Scadenziario sinistra"/>
    <w:basedOn w:val="Normale"/>
    <w:link w:val="ScadenziariosinistraCarattere"/>
    <w:uiPriority w:val="99"/>
    <w:qFormat/>
    <w:pPr>
      <w:autoSpaceDN w:val="0"/>
      <w:spacing w:after="0" w:line="240" w:lineRule="auto"/>
      <w:jc w:val="center"/>
      <w:textAlignment w:val="center"/>
    </w:pPr>
    <w:rPr>
      <w:rFonts w:ascii="Arial" w:eastAsia="Calibri" w:hAnsi="Arial" w:cs="Times New Roman"/>
      <w:b/>
      <w:smallCaps/>
      <w:sz w:val="20"/>
      <w:szCs w:val="20"/>
    </w:rPr>
  </w:style>
  <w:style w:type="paragraph" w:customStyle="1" w:styleId="ScadenziarioPuntoni">
    <w:name w:val="Scadenziario Puntoni"/>
    <w:basedOn w:val="Corpodeltesto22"/>
    <w:link w:val="ScadenziarioPuntoniCarattere"/>
    <w:uiPriority w:val="99"/>
    <w:qFormat/>
    <w:pPr>
      <w:numPr>
        <w:numId w:val="5"/>
      </w:numPr>
      <w:suppressAutoHyphens w:val="0"/>
      <w:autoSpaceDE/>
      <w:adjustRightInd/>
      <w:spacing w:before="60" w:after="20" w:line="240" w:lineRule="auto"/>
      <w:textAlignment w:val="auto"/>
    </w:pPr>
    <w:rPr>
      <w:rFonts w:ascii="Arial" w:hAnsi="Arial" w:cs="Arial"/>
      <w:sz w:val="20"/>
      <w:szCs w:val="20"/>
    </w:rPr>
  </w:style>
  <w:style w:type="character" w:customStyle="1" w:styleId="ScadenziariosinistraCarattere">
    <w:name w:val="Scadenziario sinistra Carattere"/>
    <w:link w:val="Scadenziariosinistra"/>
    <w:uiPriority w:val="99"/>
    <w:rPr>
      <w:rFonts w:ascii="Arial" w:eastAsia="Calibri" w:hAnsi="Arial" w:cs="Times New Roman"/>
      <w:b/>
      <w:smallCaps/>
      <w:sz w:val="20"/>
      <w:szCs w:val="20"/>
    </w:rPr>
  </w:style>
  <w:style w:type="paragraph" w:customStyle="1" w:styleId="Scadenziariodestra">
    <w:name w:val="Scadenziario destra"/>
    <w:basedOn w:val="Corpodeltesto22"/>
    <w:link w:val="ScadenziariodestraCarattere"/>
    <w:uiPriority w:val="99"/>
    <w:qFormat/>
    <w:pPr>
      <w:suppressAutoHyphens w:val="0"/>
      <w:autoSpaceDE/>
      <w:adjustRightInd/>
      <w:spacing w:before="60" w:after="60" w:line="240" w:lineRule="auto"/>
    </w:pPr>
    <w:rPr>
      <w:rFonts w:ascii="Arial" w:hAnsi="Arial" w:cs="Arial"/>
      <w:sz w:val="20"/>
      <w:szCs w:val="20"/>
    </w:rPr>
  </w:style>
  <w:style w:type="character" w:customStyle="1" w:styleId="Corpodeltesto22Carattere">
    <w:name w:val="Corpo del testo 22 Carattere"/>
    <w:link w:val="Corpodeltesto22"/>
    <w:rPr>
      <w:rFonts w:ascii="Calibri" w:eastAsia="Times New Roman" w:hAnsi="Calibri" w:cs="Calibri"/>
      <w:color w:val="000000"/>
      <w:lang w:eastAsia="it-IT"/>
    </w:rPr>
  </w:style>
  <w:style w:type="character" w:customStyle="1" w:styleId="ScadenziarioPuntoniCarattere">
    <w:name w:val="Scadenziario Puntoni Carattere"/>
    <w:link w:val="ScadenziarioPuntoni"/>
    <w:uiPriority w:val="99"/>
    <w:rPr>
      <w:rFonts w:ascii="Arial" w:eastAsia="Times New Roman" w:hAnsi="Arial" w:cs="Arial"/>
      <w:color w:val="000000"/>
      <w:sz w:val="20"/>
      <w:szCs w:val="20"/>
      <w:lang w:eastAsia="it-IT"/>
    </w:rPr>
  </w:style>
  <w:style w:type="paragraph" w:styleId="Titolo">
    <w:name w:val="Title"/>
    <w:basedOn w:val="Normale"/>
    <w:next w:val="Normale"/>
    <w:link w:val="TitoloCarattere"/>
    <w:uiPriority w:val="10"/>
    <w:pPr>
      <w:suppressAutoHyphens/>
      <w:autoSpaceDE w:val="0"/>
      <w:autoSpaceDN w:val="0"/>
      <w:adjustRightInd w:val="0"/>
      <w:spacing w:before="240" w:after="60" w:line="288" w:lineRule="auto"/>
      <w:jc w:val="center"/>
      <w:textAlignment w:val="center"/>
      <w:outlineLvl w:val="0"/>
    </w:pPr>
    <w:rPr>
      <w:rFonts w:ascii="Calibri Light" w:eastAsia="Times New Roman" w:hAnsi="Calibri Light" w:cs="Times New Roman"/>
      <w:b/>
      <w:bCs/>
      <w:color w:val="000000"/>
      <w:kern w:val="28"/>
      <w:sz w:val="32"/>
      <w:szCs w:val="32"/>
      <w:lang w:eastAsia="it-IT"/>
    </w:rPr>
  </w:style>
  <w:style w:type="character" w:customStyle="1" w:styleId="TitoloCarattere">
    <w:name w:val="Titolo Carattere"/>
    <w:basedOn w:val="Carpredefinitoparagrafo"/>
    <w:link w:val="Titolo"/>
    <w:uiPriority w:val="10"/>
    <w:rPr>
      <w:rFonts w:ascii="Calibri Light" w:eastAsia="Times New Roman" w:hAnsi="Calibri Light" w:cs="Times New Roman"/>
      <w:b/>
      <w:bCs/>
      <w:color w:val="000000"/>
      <w:kern w:val="28"/>
      <w:sz w:val="32"/>
      <w:szCs w:val="32"/>
      <w:lang w:eastAsia="it-IT"/>
    </w:rPr>
  </w:style>
  <w:style w:type="character" w:customStyle="1" w:styleId="ScadenziariodestraCarattere">
    <w:name w:val="Scadenziario destra Carattere"/>
    <w:link w:val="Scadenziariodestra"/>
    <w:uiPriority w:val="99"/>
    <w:rPr>
      <w:rFonts w:ascii="Arial" w:eastAsia="Times New Roman" w:hAnsi="Arial" w:cs="Arial"/>
      <w:color w:val="000000"/>
      <w:sz w:val="20"/>
      <w:szCs w:val="20"/>
      <w:lang w:eastAsia="it-IT"/>
    </w:rPr>
  </w:style>
  <w:style w:type="character" w:customStyle="1" w:styleId="puntoCarattere">
    <w:name w:val="punto Carattere"/>
    <w:link w:val="punto"/>
    <w:uiPriority w:val="99"/>
    <w:rPr>
      <w:rFonts w:ascii="Calibri" w:eastAsia="Calibri" w:hAnsi="Calibri" w:cs="Arial"/>
      <w:color w:val="000000"/>
      <w:lang w:eastAsia="it-IT"/>
    </w:rPr>
  </w:style>
  <w:style w:type="character" w:customStyle="1" w:styleId="PuntoniCarattere">
    <w:name w:val="Puntoni Carattere"/>
    <w:link w:val="Puntoni"/>
    <w:uiPriority w:val="99"/>
    <w:rPr>
      <w:rFonts w:ascii="Arial" w:eastAsia="Calibri" w:hAnsi="Arial" w:cs="Arial"/>
      <w:bCs/>
      <w:color w:val="000000"/>
      <w:lang w:eastAsia="it-IT"/>
    </w:rPr>
  </w:style>
  <w:style w:type="paragraph" w:customStyle="1" w:styleId="citato">
    <w:name w:val="citato"/>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after="28"/>
      <w:jc w:val="both"/>
    </w:pPr>
    <w:rPr>
      <w:rFonts w:ascii="Arial" w:hAnsi="Arial" w:cs="Arial"/>
      <w:i/>
      <w:iCs/>
    </w:rPr>
  </w:style>
  <w:style w:type="paragraph" w:customStyle="1" w:styleId="BodyTextCentro">
    <w:name w:val="Body Text Centro"/>
    <w:basedOn w:val="Corpotesto"/>
    <w:uiPriority w:val="99"/>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 w:val="left" w:pos="9071"/>
        <w:tab w:val="left" w:pos="9354"/>
      </w:tabs>
      <w:spacing w:after="28"/>
      <w:jc w:val="center"/>
      <w:textAlignment w:val="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39414">
      <w:bodyDiv w:val="1"/>
      <w:marLeft w:val="0"/>
      <w:marRight w:val="0"/>
      <w:marTop w:val="0"/>
      <w:marBottom w:val="0"/>
      <w:divBdr>
        <w:top w:val="none" w:sz="0" w:space="0" w:color="auto"/>
        <w:left w:val="none" w:sz="0" w:space="0" w:color="auto"/>
        <w:bottom w:val="none" w:sz="0" w:space="0" w:color="auto"/>
        <w:right w:val="none" w:sz="0" w:space="0" w:color="auto"/>
      </w:divBdr>
    </w:div>
    <w:div w:id="120730945">
      <w:bodyDiv w:val="1"/>
      <w:marLeft w:val="0"/>
      <w:marRight w:val="0"/>
      <w:marTop w:val="0"/>
      <w:marBottom w:val="0"/>
      <w:divBdr>
        <w:top w:val="none" w:sz="0" w:space="0" w:color="auto"/>
        <w:left w:val="none" w:sz="0" w:space="0" w:color="auto"/>
        <w:bottom w:val="none" w:sz="0" w:space="0" w:color="auto"/>
        <w:right w:val="none" w:sz="0" w:space="0" w:color="auto"/>
      </w:divBdr>
    </w:div>
    <w:div w:id="145166735">
      <w:bodyDiv w:val="1"/>
      <w:marLeft w:val="0"/>
      <w:marRight w:val="0"/>
      <w:marTop w:val="0"/>
      <w:marBottom w:val="0"/>
      <w:divBdr>
        <w:top w:val="none" w:sz="0" w:space="0" w:color="auto"/>
        <w:left w:val="none" w:sz="0" w:space="0" w:color="auto"/>
        <w:bottom w:val="none" w:sz="0" w:space="0" w:color="auto"/>
        <w:right w:val="none" w:sz="0" w:space="0" w:color="auto"/>
      </w:divBdr>
    </w:div>
    <w:div w:id="168495312">
      <w:bodyDiv w:val="1"/>
      <w:marLeft w:val="0"/>
      <w:marRight w:val="0"/>
      <w:marTop w:val="0"/>
      <w:marBottom w:val="0"/>
      <w:divBdr>
        <w:top w:val="none" w:sz="0" w:space="0" w:color="auto"/>
        <w:left w:val="none" w:sz="0" w:space="0" w:color="auto"/>
        <w:bottom w:val="none" w:sz="0" w:space="0" w:color="auto"/>
        <w:right w:val="none" w:sz="0" w:space="0" w:color="auto"/>
      </w:divBdr>
    </w:div>
    <w:div w:id="351808170">
      <w:bodyDiv w:val="1"/>
      <w:marLeft w:val="0"/>
      <w:marRight w:val="0"/>
      <w:marTop w:val="0"/>
      <w:marBottom w:val="0"/>
      <w:divBdr>
        <w:top w:val="none" w:sz="0" w:space="0" w:color="auto"/>
        <w:left w:val="none" w:sz="0" w:space="0" w:color="auto"/>
        <w:bottom w:val="none" w:sz="0" w:space="0" w:color="auto"/>
        <w:right w:val="none" w:sz="0" w:space="0" w:color="auto"/>
      </w:divBdr>
    </w:div>
    <w:div w:id="611597797">
      <w:bodyDiv w:val="1"/>
      <w:marLeft w:val="0"/>
      <w:marRight w:val="0"/>
      <w:marTop w:val="0"/>
      <w:marBottom w:val="0"/>
      <w:divBdr>
        <w:top w:val="none" w:sz="0" w:space="0" w:color="auto"/>
        <w:left w:val="none" w:sz="0" w:space="0" w:color="auto"/>
        <w:bottom w:val="none" w:sz="0" w:space="0" w:color="auto"/>
        <w:right w:val="none" w:sz="0" w:space="0" w:color="auto"/>
      </w:divBdr>
    </w:div>
    <w:div w:id="665477974">
      <w:bodyDiv w:val="1"/>
      <w:marLeft w:val="0"/>
      <w:marRight w:val="0"/>
      <w:marTop w:val="0"/>
      <w:marBottom w:val="0"/>
      <w:divBdr>
        <w:top w:val="none" w:sz="0" w:space="0" w:color="auto"/>
        <w:left w:val="none" w:sz="0" w:space="0" w:color="auto"/>
        <w:bottom w:val="none" w:sz="0" w:space="0" w:color="auto"/>
        <w:right w:val="none" w:sz="0" w:space="0" w:color="auto"/>
      </w:divBdr>
    </w:div>
    <w:div w:id="716054652">
      <w:bodyDiv w:val="1"/>
      <w:marLeft w:val="0"/>
      <w:marRight w:val="0"/>
      <w:marTop w:val="0"/>
      <w:marBottom w:val="0"/>
      <w:divBdr>
        <w:top w:val="none" w:sz="0" w:space="0" w:color="auto"/>
        <w:left w:val="none" w:sz="0" w:space="0" w:color="auto"/>
        <w:bottom w:val="none" w:sz="0" w:space="0" w:color="auto"/>
        <w:right w:val="none" w:sz="0" w:space="0" w:color="auto"/>
      </w:divBdr>
    </w:div>
    <w:div w:id="719863347">
      <w:bodyDiv w:val="1"/>
      <w:marLeft w:val="0"/>
      <w:marRight w:val="0"/>
      <w:marTop w:val="0"/>
      <w:marBottom w:val="0"/>
      <w:divBdr>
        <w:top w:val="none" w:sz="0" w:space="0" w:color="auto"/>
        <w:left w:val="none" w:sz="0" w:space="0" w:color="auto"/>
        <w:bottom w:val="none" w:sz="0" w:space="0" w:color="auto"/>
        <w:right w:val="none" w:sz="0" w:space="0" w:color="auto"/>
      </w:divBdr>
    </w:div>
    <w:div w:id="800659455">
      <w:bodyDiv w:val="1"/>
      <w:marLeft w:val="0"/>
      <w:marRight w:val="0"/>
      <w:marTop w:val="0"/>
      <w:marBottom w:val="0"/>
      <w:divBdr>
        <w:top w:val="none" w:sz="0" w:space="0" w:color="auto"/>
        <w:left w:val="none" w:sz="0" w:space="0" w:color="auto"/>
        <w:bottom w:val="none" w:sz="0" w:space="0" w:color="auto"/>
        <w:right w:val="none" w:sz="0" w:space="0" w:color="auto"/>
      </w:divBdr>
      <w:divsChild>
        <w:div w:id="1996298330">
          <w:marLeft w:val="0"/>
          <w:marRight w:val="0"/>
          <w:marTop w:val="0"/>
          <w:marBottom w:val="0"/>
          <w:divBdr>
            <w:top w:val="none" w:sz="0" w:space="0" w:color="auto"/>
            <w:left w:val="none" w:sz="0" w:space="0" w:color="auto"/>
            <w:bottom w:val="none" w:sz="0" w:space="0" w:color="auto"/>
            <w:right w:val="none" w:sz="0" w:space="0" w:color="auto"/>
          </w:divBdr>
        </w:div>
        <w:div w:id="1124813100">
          <w:marLeft w:val="0"/>
          <w:marRight w:val="0"/>
          <w:marTop w:val="0"/>
          <w:marBottom w:val="0"/>
          <w:divBdr>
            <w:top w:val="none" w:sz="0" w:space="0" w:color="auto"/>
            <w:left w:val="none" w:sz="0" w:space="0" w:color="auto"/>
            <w:bottom w:val="none" w:sz="0" w:space="0" w:color="auto"/>
            <w:right w:val="none" w:sz="0" w:space="0" w:color="auto"/>
          </w:divBdr>
        </w:div>
        <w:div w:id="917251836">
          <w:marLeft w:val="0"/>
          <w:marRight w:val="0"/>
          <w:marTop w:val="0"/>
          <w:marBottom w:val="0"/>
          <w:divBdr>
            <w:top w:val="none" w:sz="0" w:space="0" w:color="auto"/>
            <w:left w:val="none" w:sz="0" w:space="0" w:color="auto"/>
            <w:bottom w:val="none" w:sz="0" w:space="0" w:color="auto"/>
            <w:right w:val="none" w:sz="0" w:space="0" w:color="auto"/>
          </w:divBdr>
          <w:divsChild>
            <w:div w:id="83677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60575">
      <w:bodyDiv w:val="1"/>
      <w:marLeft w:val="0"/>
      <w:marRight w:val="0"/>
      <w:marTop w:val="0"/>
      <w:marBottom w:val="0"/>
      <w:divBdr>
        <w:top w:val="none" w:sz="0" w:space="0" w:color="auto"/>
        <w:left w:val="none" w:sz="0" w:space="0" w:color="auto"/>
        <w:bottom w:val="none" w:sz="0" w:space="0" w:color="auto"/>
        <w:right w:val="none" w:sz="0" w:space="0" w:color="auto"/>
      </w:divBdr>
      <w:divsChild>
        <w:div w:id="822283463">
          <w:marLeft w:val="0"/>
          <w:marRight w:val="0"/>
          <w:marTop w:val="0"/>
          <w:marBottom w:val="0"/>
          <w:divBdr>
            <w:top w:val="none" w:sz="0" w:space="0" w:color="auto"/>
            <w:left w:val="none" w:sz="0" w:space="0" w:color="auto"/>
            <w:bottom w:val="none" w:sz="0" w:space="0" w:color="auto"/>
            <w:right w:val="none" w:sz="0" w:space="0" w:color="auto"/>
          </w:divBdr>
        </w:div>
        <w:div w:id="889338185">
          <w:marLeft w:val="0"/>
          <w:marRight w:val="0"/>
          <w:marTop w:val="0"/>
          <w:marBottom w:val="0"/>
          <w:divBdr>
            <w:top w:val="none" w:sz="0" w:space="0" w:color="auto"/>
            <w:left w:val="none" w:sz="0" w:space="0" w:color="auto"/>
            <w:bottom w:val="none" w:sz="0" w:space="0" w:color="auto"/>
            <w:right w:val="none" w:sz="0" w:space="0" w:color="auto"/>
          </w:divBdr>
        </w:div>
        <w:div w:id="403140113">
          <w:marLeft w:val="0"/>
          <w:marRight w:val="0"/>
          <w:marTop w:val="0"/>
          <w:marBottom w:val="0"/>
          <w:divBdr>
            <w:top w:val="none" w:sz="0" w:space="0" w:color="auto"/>
            <w:left w:val="none" w:sz="0" w:space="0" w:color="auto"/>
            <w:bottom w:val="none" w:sz="0" w:space="0" w:color="auto"/>
            <w:right w:val="none" w:sz="0" w:space="0" w:color="auto"/>
          </w:divBdr>
          <w:divsChild>
            <w:div w:id="85920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409075">
      <w:bodyDiv w:val="1"/>
      <w:marLeft w:val="0"/>
      <w:marRight w:val="0"/>
      <w:marTop w:val="0"/>
      <w:marBottom w:val="0"/>
      <w:divBdr>
        <w:top w:val="none" w:sz="0" w:space="0" w:color="auto"/>
        <w:left w:val="none" w:sz="0" w:space="0" w:color="auto"/>
        <w:bottom w:val="none" w:sz="0" w:space="0" w:color="auto"/>
        <w:right w:val="none" w:sz="0" w:space="0" w:color="auto"/>
      </w:divBdr>
    </w:div>
    <w:div w:id="990910526">
      <w:bodyDiv w:val="1"/>
      <w:marLeft w:val="0"/>
      <w:marRight w:val="0"/>
      <w:marTop w:val="0"/>
      <w:marBottom w:val="0"/>
      <w:divBdr>
        <w:top w:val="none" w:sz="0" w:space="0" w:color="auto"/>
        <w:left w:val="none" w:sz="0" w:space="0" w:color="auto"/>
        <w:bottom w:val="none" w:sz="0" w:space="0" w:color="auto"/>
        <w:right w:val="none" w:sz="0" w:space="0" w:color="auto"/>
      </w:divBdr>
    </w:div>
    <w:div w:id="1075204758">
      <w:bodyDiv w:val="1"/>
      <w:marLeft w:val="0"/>
      <w:marRight w:val="0"/>
      <w:marTop w:val="0"/>
      <w:marBottom w:val="0"/>
      <w:divBdr>
        <w:top w:val="none" w:sz="0" w:space="0" w:color="auto"/>
        <w:left w:val="none" w:sz="0" w:space="0" w:color="auto"/>
        <w:bottom w:val="none" w:sz="0" w:space="0" w:color="auto"/>
        <w:right w:val="none" w:sz="0" w:space="0" w:color="auto"/>
      </w:divBdr>
    </w:div>
    <w:div w:id="1199464051">
      <w:bodyDiv w:val="1"/>
      <w:marLeft w:val="0"/>
      <w:marRight w:val="0"/>
      <w:marTop w:val="0"/>
      <w:marBottom w:val="0"/>
      <w:divBdr>
        <w:top w:val="none" w:sz="0" w:space="0" w:color="auto"/>
        <w:left w:val="none" w:sz="0" w:space="0" w:color="auto"/>
        <w:bottom w:val="none" w:sz="0" w:space="0" w:color="auto"/>
        <w:right w:val="none" w:sz="0" w:space="0" w:color="auto"/>
      </w:divBdr>
    </w:div>
    <w:div w:id="1250192503">
      <w:bodyDiv w:val="1"/>
      <w:marLeft w:val="0"/>
      <w:marRight w:val="0"/>
      <w:marTop w:val="0"/>
      <w:marBottom w:val="0"/>
      <w:divBdr>
        <w:top w:val="none" w:sz="0" w:space="0" w:color="auto"/>
        <w:left w:val="none" w:sz="0" w:space="0" w:color="auto"/>
        <w:bottom w:val="none" w:sz="0" w:space="0" w:color="auto"/>
        <w:right w:val="none" w:sz="0" w:space="0" w:color="auto"/>
      </w:divBdr>
    </w:div>
    <w:div w:id="1309047122">
      <w:bodyDiv w:val="1"/>
      <w:marLeft w:val="0"/>
      <w:marRight w:val="0"/>
      <w:marTop w:val="0"/>
      <w:marBottom w:val="0"/>
      <w:divBdr>
        <w:top w:val="none" w:sz="0" w:space="0" w:color="auto"/>
        <w:left w:val="none" w:sz="0" w:space="0" w:color="auto"/>
        <w:bottom w:val="none" w:sz="0" w:space="0" w:color="auto"/>
        <w:right w:val="none" w:sz="0" w:space="0" w:color="auto"/>
      </w:divBdr>
    </w:div>
    <w:div w:id="1511485992">
      <w:bodyDiv w:val="1"/>
      <w:marLeft w:val="0"/>
      <w:marRight w:val="0"/>
      <w:marTop w:val="0"/>
      <w:marBottom w:val="0"/>
      <w:divBdr>
        <w:top w:val="none" w:sz="0" w:space="0" w:color="auto"/>
        <w:left w:val="none" w:sz="0" w:space="0" w:color="auto"/>
        <w:bottom w:val="none" w:sz="0" w:space="0" w:color="auto"/>
        <w:right w:val="none" w:sz="0" w:space="0" w:color="auto"/>
      </w:divBdr>
    </w:div>
    <w:div w:id="189828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E3C14-2816-4578-8CF4-54ECDD9BD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2714</Words>
  <Characters>15475</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venti</dc:creator>
  <cp:lastModifiedBy>Venti</cp:lastModifiedBy>
  <cp:revision>2</cp:revision>
  <cp:lastPrinted>2024-11-08T15:32:00Z</cp:lastPrinted>
  <dcterms:created xsi:type="dcterms:W3CDTF">2025-06-20T15:43:00Z</dcterms:created>
  <dcterms:modified xsi:type="dcterms:W3CDTF">2025-06-20T15:43:00Z</dcterms:modified>
</cp:coreProperties>
</file>