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NUOVE SPECIFICHE TECNICHE 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DEL TRACCIATO XML DELLA FATTURA ELETTRONICA</w:t>
      </w: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0"/>
          <w:szCs w:val="10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0"/>
          <w:szCs w:val="10"/>
        </w:rPr>
      </w:pPr>
    </w:p>
    <w:p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Con provvedimento direttoriale n. 99922, pubblicato il 28 febbraio 2020, l’Agenzia delle Entrate ha adottato nuove specifiche tecniche (versione 1.6.) del </w:t>
      </w:r>
      <w:r>
        <w:rPr>
          <w:rFonts w:asciiTheme="minorHAnsi" w:hAnsiTheme="minorHAnsi" w:cstheme="minorHAnsi"/>
          <w:b/>
          <w:sz w:val="20"/>
          <w:szCs w:val="20"/>
        </w:rPr>
        <w:t>tracciato xml della fattura elettronica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</w:p>
    <w:p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 partire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dal 1° ottobre 2020 e fino al 31 dicembre 2020 </w:t>
      </w:r>
      <w:r>
        <w:rPr>
          <w:rFonts w:asciiTheme="minorHAnsi" w:hAnsiTheme="minorHAnsi" w:cstheme="minorHAnsi"/>
          <w:sz w:val="20"/>
          <w:szCs w:val="20"/>
        </w:rPr>
        <w:t xml:space="preserve">il Sistema di Interscambio accetterà fatture elettroniche e note di variazione predisposte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sia </w:t>
      </w:r>
      <w:r>
        <w:rPr>
          <w:rFonts w:asciiTheme="minorHAnsi" w:hAnsiTheme="minorHAnsi" w:cstheme="minorHAnsi"/>
          <w:sz w:val="20"/>
          <w:szCs w:val="20"/>
        </w:rPr>
        <w:t xml:space="preserve">con il nuovo schema (versione 1.6.),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sia </w:t>
      </w:r>
      <w:r>
        <w:rPr>
          <w:rFonts w:asciiTheme="minorHAnsi" w:hAnsiTheme="minorHAnsi" w:cstheme="minorHAnsi"/>
          <w:sz w:val="20"/>
          <w:szCs w:val="20"/>
        </w:rPr>
        <w:t>con lo schema attualmente in vigore (versione 1.5)</w:t>
      </w:r>
    </w:p>
    <w:p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D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al 1° gennaio 2021 </w:t>
      </w:r>
      <w:r>
        <w:rPr>
          <w:rFonts w:asciiTheme="minorHAnsi" w:hAnsiTheme="minorHAnsi" w:cstheme="minorHAnsi"/>
          <w:sz w:val="20"/>
          <w:szCs w:val="20"/>
        </w:rPr>
        <w:t xml:space="preserve">il Sistema di Interscambio accetterà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esclusivamente </w:t>
      </w:r>
      <w:r>
        <w:rPr>
          <w:rFonts w:asciiTheme="minorHAnsi" w:hAnsiTheme="minorHAnsi" w:cstheme="minorHAnsi"/>
          <w:sz w:val="20"/>
          <w:szCs w:val="20"/>
        </w:rPr>
        <w:t xml:space="preserve">fatture elettroniche e note di variazione predisposte con il nuovo schema. </w:t>
      </w:r>
    </w:p>
    <w:p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>
      <w:pPr>
        <w:pStyle w:val="Default"/>
        <w:jc w:val="center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>Modifiche apportate dal nuovo tracciato</w:t>
      </w:r>
    </w:p>
    <w:p>
      <w:pPr>
        <w:pStyle w:val="Default"/>
        <w:jc w:val="both"/>
        <w:rPr>
          <w:rFonts w:asciiTheme="minorHAnsi" w:hAnsiTheme="minorHAnsi" w:cstheme="minorHAnsi"/>
          <w:b/>
          <w:sz w:val="20"/>
          <w:szCs w:val="20"/>
        </w:rPr>
      </w:pPr>
    </w:p>
    <w:p>
      <w:pPr>
        <w:pStyle w:val="Default"/>
        <w:spacing w:after="109"/>
        <w:jc w:val="both"/>
        <w:rPr>
          <w:rFonts w:asciiTheme="minorHAnsi" w:hAnsiTheme="minorHAnsi" w:cstheme="minorHAnsi"/>
          <w:b/>
          <w:i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i/>
          <w:sz w:val="20"/>
          <w:szCs w:val="20"/>
          <w:u w:val="single"/>
        </w:rPr>
        <w:t>NUOVI CODICI CAMPO “Tipo documento”:</w:t>
      </w:r>
    </w:p>
    <w:p>
      <w:pPr>
        <w:pStyle w:val="Default"/>
        <w:spacing w:after="109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TD16 </w:t>
      </w:r>
      <w:r>
        <w:rPr>
          <w:rFonts w:asciiTheme="minorHAnsi" w:hAnsiTheme="minorHAnsi" w:cstheme="minorHAnsi"/>
          <w:sz w:val="20"/>
          <w:szCs w:val="20"/>
        </w:rPr>
        <w:t xml:space="preserve">integrazione per acquisti interni – RIMANE COMUNQUE POSSIBILE EFFETTUARE L’INTEGRAZIONE CARTACEA </w:t>
      </w:r>
    </w:p>
    <w:p>
      <w:pPr>
        <w:pStyle w:val="Default"/>
        <w:spacing w:after="109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TD17 </w:t>
      </w:r>
      <w:r>
        <w:rPr>
          <w:rFonts w:asciiTheme="minorHAnsi" w:hAnsiTheme="minorHAnsi" w:cstheme="minorHAnsi"/>
          <w:sz w:val="20"/>
          <w:szCs w:val="20"/>
        </w:rPr>
        <w:t xml:space="preserve">integrazione o autofattura per acquisti di servizi da soggetto non residente ai sensi dell’articolo 17, comma 2, DPR 633/1972 - – RIMANE COMUNQUE POSSIBILE EFFETTUARE L’INTEGRAZIONE O L’AUTOFATTURA CARTACEA </w:t>
      </w:r>
    </w:p>
    <w:p>
      <w:pPr>
        <w:pStyle w:val="Default"/>
        <w:spacing w:after="109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TD18 </w:t>
      </w:r>
      <w:r>
        <w:rPr>
          <w:rFonts w:asciiTheme="minorHAnsi" w:hAnsiTheme="minorHAnsi" w:cstheme="minorHAnsi"/>
          <w:sz w:val="20"/>
          <w:szCs w:val="20"/>
        </w:rPr>
        <w:t xml:space="preserve">integrazione della fattura del fornitore UE per acquisto intracomunitario di beni – RIMANE COMUNQUE POSSIBILE EFFETTUARE L’INTEGRAZIONE CARTACEA </w:t>
      </w:r>
    </w:p>
    <w:p>
      <w:pPr>
        <w:pStyle w:val="Default"/>
        <w:spacing w:after="109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TD19 </w:t>
      </w:r>
      <w:r>
        <w:rPr>
          <w:rFonts w:asciiTheme="minorHAnsi" w:hAnsiTheme="minorHAnsi" w:cstheme="minorHAnsi"/>
          <w:sz w:val="20"/>
          <w:szCs w:val="20"/>
        </w:rPr>
        <w:t xml:space="preserve">integrazione o autofattura per acquisti di beni da soggetti non residenti ai sensi dell’articolo 17, comma 2, DPR 633/1972 – RIMANE COMUNQUE POSSIBILE EFFETTUARE L’INTEGRAZIONE O L’AUTOFATTURA CARTACEA </w:t>
      </w:r>
    </w:p>
    <w:p>
      <w:pPr>
        <w:pStyle w:val="Default"/>
        <w:spacing w:after="109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TD21 </w:t>
      </w:r>
      <w:r>
        <w:rPr>
          <w:rFonts w:asciiTheme="minorHAnsi" w:hAnsiTheme="minorHAnsi" w:cstheme="minorHAnsi"/>
          <w:sz w:val="20"/>
          <w:szCs w:val="20"/>
        </w:rPr>
        <w:t xml:space="preserve">in caso di emissione di autofattura per regolarizzazione dello splafonamento </w:t>
      </w:r>
    </w:p>
    <w:p>
      <w:pPr>
        <w:pStyle w:val="Default"/>
        <w:spacing w:after="109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TD22 </w:t>
      </w:r>
      <w:r>
        <w:rPr>
          <w:rFonts w:asciiTheme="minorHAnsi" w:hAnsiTheme="minorHAnsi" w:cstheme="minorHAnsi"/>
          <w:sz w:val="20"/>
          <w:szCs w:val="20"/>
        </w:rPr>
        <w:t xml:space="preserve">in caso di estrazione beni da Deposito IVA </w:t>
      </w:r>
    </w:p>
    <w:p>
      <w:pPr>
        <w:pStyle w:val="Default"/>
        <w:spacing w:after="109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TD23 </w:t>
      </w:r>
      <w:r>
        <w:rPr>
          <w:rFonts w:asciiTheme="minorHAnsi" w:hAnsiTheme="minorHAnsi" w:cstheme="minorHAnsi"/>
          <w:sz w:val="20"/>
          <w:szCs w:val="20"/>
        </w:rPr>
        <w:t xml:space="preserve">in caso di estrazione beni da Deposito IVA con versamento dell’IVA </w:t>
      </w:r>
    </w:p>
    <w:p>
      <w:pPr>
        <w:pStyle w:val="Default"/>
        <w:spacing w:after="109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TD24 </w:t>
      </w:r>
      <w:r>
        <w:rPr>
          <w:rFonts w:asciiTheme="minorHAnsi" w:hAnsiTheme="minorHAnsi" w:cstheme="minorHAnsi"/>
          <w:sz w:val="20"/>
          <w:szCs w:val="20"/>
        </w:rPr>
        <w:t xml:space="preserve">– fattura differita – art 21, 4 comma, </w:t>
      </w:r>
      <w:proofErr w:type="spellStart"/>
      <w:r>
        <w:rPr>
          <w:rFonts w:asciiTheme="minorHAnsi" w:hAnsiTheme="minorHAnsi" w:cstheme="minorHAnsi"/>
          <w:sz w:val="20"/>
          <w:szCs w:val="20"/>
        </w:rPr>
        <w:t>lett</w:t>
      </w:r>
      <w:proofErr w:type="spellEnd"/>
      <w:r>
        <w:rPr>
          <w:rFonts w:asciiTheme="minorHAnsi" w:hAnsiTheme="minorHAnsi" w:cstheme="minorHAnsi"/>
          <w:sz w:val="20"/>
          <w:szCs w:val="20"/>
        </w:rPr>
        <w:t>. a), del DPR 633/72, quindi fatture differite che i contribuenti utilizzano per le cessioni dei beni a seguito di emissione, al momento di effettuazione dell’operazione, di specifici documenti di trasporto (</w:t>
      </w:r>
      <w:proofErr w:type="spellStart"/>
      <w:r>
        <w:rPr>
          <w:rFonts w:asciiTheme="minorHAnsi" w:hAnsiTheme="minorHAnsi" w:cstheme="minorHAnsi"/>
          <w:sz w:val="20"/>
          <w:szCs w:val="20"/>
        </w:rPr>
        <w:t>Ddt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) </w:t>
      </w:r>
    </w:p>
    <w:p>
      <w:pPr>
        <w:pStyle w:val="Default"/>
        <w:spacing w:after="109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TD25 </w:t>
      </w:r>
      <w:r>
        <w:rPr>
          <w:rFonts w:asciiTheme="minorHAnsi" w:hAnsiTheme="minorHAnsi" w:cstheme="minorHAnsi"/>
          <w:sz w:val="20"/>
          <w:szCs w:val="20"/>
        </w:rPr>
        <w:t xml:space="preserve">fattura differita di cui all’art. 21, 4 comma, </w:t>
      </w:r>
      <w:proofErr w:type="spellStart"/>
      <w:r>
        <w:rPr>
          <w:rFonts w:asciiTheme="minorHAnsi" w:hAnsiTheme="minorHAnsi" w:cstheme="minorHAnsi"/>
          <w:sz w:val="20"/>
          <w:szCs w:val="20"/>
        </w:rPr>
        <w:t>lett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b), del DPR 633/72, quindi fattura differita per operazioni triangolari interne </w:t>
      </w:r>
    </w:p>
    <w:p>
      <w:pPr>
        <w:pStyle w:val="Default"/>
        <w:spacing w:after="109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TD26 </w:t>
      </w:r>
      <w:r>
        <w:rPr>
          <w:rFonts w:asciiTheme="minorHAnsi" w:hAnsiTheme="minorHAnsi" w:cstheme="minorHAnsi"/>
          <w:sz w:val="20"/>
          <w:szCs w:val="20"/>
        </w:rPr>
        <w:t xml:space="preserve">per la cessione di beni ammortizzabili e per passaggi interni </w:t>
      </w:r>
    </w:p>
    <w:p>
      <w:pPr>
        <w:pStyle w:val="Default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TD27 </w:t>
      </w:r>
      <w:r>
        <w:rPr>
          <w:rFonts w:asciiTheme="minorHAnsi" w:hAnsiTheme="minorHAnsi" w:cstheme="minorHAnsi"/>
          <w:sz w:val="20"/>
          <w:szCs w:val="20"/>
        </w:rPr>
        <w:t xml:space="preserve">in caso di fatture per auto consumo o per cessioni gratuite senza rivalsa. </w:t>
      </w:r>
    </w:p>
    <w:p>
      <w:pPr>
        <w:pStyle w:val="Default"/>
        <w:spacing w:after="104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>
      <w:pPr>
        <w:pStyle w:val="Default"/>
        <w:spacing w:after="109"/>
        <w:jc w:val="both"/>
        <w:rPr>
          <w:rFonts w:asciiTheme="minorHAnsi" w:hAnsiTheme="minorHAnsi" w:cstheme="minorHAnsi"/>
          <w:b/>
          <w:i/>
          <w:sz w:val="20"/>
          <w:szCs w:val="20"/>
          <w:u w:val="single"/>
        </w:rPr>
      </w:pPr>
      <w:bookmarkStart w:id="0" w:name="_GoBack"/>
      <w:bookmarkEnd w:id="0"/>
      <w:r>
        <w:rPr>
          <w:rFonts w:asciiTheme="minorHAnsi" w:hAnsiTheme="minorHAnsi" w:cstheme="minorHAnsi"/>
          <w:b/>
          <w:i/>
          <w:sz w:val="20"/>
          <w:szCs w:val="20"/>
          <w:u w:val="single"/>
        </w:rPr>
        <w:t>NUOVI CODICI CAMPO “Natura”:</w:t>
      </w:r>
    </w:p>
    <w:p>
      <w:pPr>
        <w:pStyle w:val="Default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Il codice </w:t>
      </w:r>
      <w:r>
        <w:rPr>
          <w:rFonts w:asciiTheme="minorHAnsi" w:hAnsiTheme="minorHAnsi" w:cstheme="minorHAnsi"/>
          <w:b/>
          <w:sz w:val="20"/>
          <w:szCs w:val="20"/>
        </w:rPr>
        <w:t>N2</w:t>
      </w:r>
      <w:r>
        <w:rPr>
          <w:rFonts w:asciiTheme="minorHAnsi" w:hAnsiTheme="minorHAnsi" w:cstheme="minorHAnsi"/>
          <w:sz w:val="20"/>
          <w:szCs w:val="20"/>
        </w:rPr>
        <w:t xml:space="preserve"> si scinde in: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N2.1: non soggette ad IVA ai sensi degli artt. Da 7 a 7-septies del DPR 633/72;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N2.2: non soggette – altri casi. </w:t>
      </w:r>
    </w:p>
    <w:p>
      <w:pPr>
        <w:pStyle w:val="Default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>
      <w:pPr>
        <w:pStyle w:val="Default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Il codice </w:t>
      </w:r>
      <w:r>
        <w:rPr>
          <w:rFonts w:asciiTheme="minorHAnsi" w:hAnsiTheme="minorHAnsi" w:cstheme="minorHAnsi"/>
          <w:b/>
          <w:sz w:val="20"/>
          <w:szCs w:val="20"/>
        </w:rPr>
        <w:t>N3</w:t>
      </w:r>
      <w:r>
        <w:rPr>
          <w:rFonts w:asciiTheme="minorHAnsi" w:hAnsiTheme="minorHAnsi" w:cstheme="minorHAnsi"/>
          <w:sz w:val="20"/>
          <w:szCs w:val="20"/>
        </w:rPr>
        <w:t xml:space="preserve"> invece viene suddiviso in ulteriori specifici fattispecie relative ad operazioni non imponibili: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N3.1 non imponibili – esportazioni;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N3.2 non imponibili – cessioni intracomunitarie;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N3.3 non imponibili – cessioni verso San Marino;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N3.4 non imponibili – operazioni assimilate alle cessioni all’esportazione;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N3.5 non imponibili – a seguito di dichiarazioni d’intento;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N3.6 non imponibili – altre operazioni che non concorrono alla formazione del plafond. </w:t>
      </w:r>
    </w:p>
    <w:p>
      <w:pPr>
        <w:pStyle w:val="Default"/>
        <w:ind w:left="360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>
      <w:pPr>
        <w:pStyle w:val="Default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Il codice </w:t>
      </w:r>
      <w:r>
        <w:rPr>
          <w:rFonts w:asciiTheme="minorHAnsi" w:hAnsiTheme="minorHAnsi" w:cstheme="minorHAnsi"/>
          <w:b/>
          <w:sz w:val="20"/>
          <w:szCs w:val="20"/>
        </w:rPr>
        <w:t>N6</w:t>
      </w:r>
      <w:r>
        <w:rPr>
          <w:rFonts w:asciiTheme="minorHAnsi" w:hAnsiTheme="minorHAnsi" w:cstheme="minorHAnsi"/>
          <w:sz w:val="20"/>
          <w:szCs w:val="20"/>
        </w:rPr>
        <w:t xml:space="preserve"> relativo alle operazioni in reverse </w:t>
      </w:r>
      <w:proofErr w:type="spellStart"/>
      <w:r>
        <w:rPr>
          <w:rFonts w:asciiTheme="minorHAnsi" w:hAnsiTheme="minorHAnsi" w:cstheme="minorHAnsi"/>
          <w:sz w:val="20"/>
          <w:szCs w:val="20"/>
        </w:rPr>
        <w:t>charge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viene dettagliato in base alla specifica operazione: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N6.1 inversione contabile – cessione di rottami e altri materiali di recupero;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N6.2 inversione contabile – cessione di oro e argento puro;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N6.3 inversione contabile – subappalto nel settore edile;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N6.4 inversione contabile – cessione di fabbricati;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N6.5 inversione contabile – cessione di telefoni cellulari;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N6.6 inversione contabile – cessione di prodotti elettronici;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N6.7 inversione contabile – prestazioni comparto edile e settori connessi;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N6.8 inversione contabile – operazioni settore energetico; </w:t>
      </w:r>
    </w:p>
    <w:p>
      <w:pPr>
        <w:pStyle w:val="Default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N6.9 inversione contabile – altri casi. </w:t>
      </w:r>
    </w:p>
    <w:p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</w:p>
    <w:p>
      <w:pPr>
        <w:pStyle w:val="Default"/>
        <w:spacing w:after="109"/>
        <w:jc w:val="both"/>
        <w:rPr>
          <w:rFonts w:asciiTheme="minorHAnsi" w:hAnsiTheme="minorHAnsi" w:cstheme="minorHAnsi"/>
          <w:b/>
          <w:i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i/>
          <w:sz w:val="20"/>
          <w:szCs w:val="20"/>
          <w:u w:val="single"/>
        </w:rPr>
        <w:t xml:space="preserve">NUOVI CODICI CAMPO “Tipo Ritenuta”: </w:t>
      </w:r>
    </w:p>
    <w:p>
      <w:pPr>
        <w:pStyle w:val="Default"/>
        <w:numPr>
          <w:ilvl w:val="0"/>
          <w:numId w:val="2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RT01 ritenuta persone fisiche </w:t>
      </w:r>
    </w:p>
    <w:p>
      <w:pPr>
        <w:pStyle w:val="Default"/>
        <w:numPr>
          <w:ilvl w:val="0"/>
          <w:numId w:val="2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RT02 ritenuta persone giuridiche </w:t>
      </w:r>
    </w:p>
    <w:p>
      <w:pPr>
        <w:pStyle w:val="Default"/>
        <w:numPr>
          <w:ilvl w:val="0"/>
          <w:numId w:val="2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RT03 contributo INPS </w:t>
      </w:r>
    </w:p>
    <w:p>
      <w:pPr>
        <w:pStyle w:val="Default"/>
        <w:numPr>
          <w:ilvl w:val="0"/>
          <w:numId w:val="2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RT04 contributo ENASARCO </w:t>
      </w:r>
    </w:p>
    <w:p>
      <w:pPr>
        <w:pStyle w:val="Default"/>
        <w:numPr>
          <w:ilvl w:val="0"/>
          <w:numId w:val="2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RT05 contributo ENPAM </w:t>
      </w:r>
    </w:p>
    <w:p>
      <w:pPr>
        <w:pStyle w:val="Default"/>
        <w:numPr>
          <w:ilvl w:val="0"/>
          <w:numId w:val="2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RT06 altro contributo previdenziale </w:t>
      </w:r>
    </w:p>
    <w:p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>
      <w:pPr>
        <w:pStyle w:val="Default"/>
        <w:spacing w:after="2269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auto"/>
          <w:sz w:val="20"/>
          <w:szCs w:val="20"/>
        </w:rPr>
        <w:t>Nota</w:t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 xml:space="preserve">: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estensione dell’arrotondamento a 8 decimali per gli sconti e le maggiorazioni </w:t>
      </w:r>
    </w:p>
    <w:p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sectPr>
      <w:headerReference w:type="default" r:id="rId9"/>
      <w:footerReference w:type="default" r:id="rId1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016516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>
        <w:pPr>
          <w:pStyle w:val="Pidipagina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fldChar w:fldCharType="begin"/>
        </w:r>
        <w:r>
          <w:rPr>
            <w:sz w:val="16"/>
            <w:szCs w:val="16"/>
          </w:rPr>
          <w:instrText>PAGE   \* MERGEFORMAT</w:instrText>
        </w:r>
        <w:r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>
          <w:rPr>
            <w:sz w:val="16"/>
            <w:szCs w:val="16"/>
          </w:rPr>
          <w:fldChar w:fldCharType="end"/>
        </w:r>
      </w:p>
    </w:sdtContent>
  </w:sdt>
  <w:p>
    <w:pPr>
      <w:pStyle w:val="NormaleWeb"/>
      <w:tabs>
        <w:tab w:val="right" w:pos="9639"/>
      </w:tabs>
      <w:jc w:val="center"/>
      <w:rPr>
        <w:rFonts w:asciiTheme="minorHAnsi" w:hAnsiTheme="minorHAnsi" w:cstheme="minorHAnsi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Intestazione"/>
      <w:rPr>
        <w:rFonts w:ascii="Kunstler Script" w:hAnsi="Kunstler Script"/>
        <w:b/>
        <w:sz w:val="40"/>
        <w:szCs w:val="40"/>
      </w:rPr>
    </w:pPr>
    <w:r>
      <w:rPr>
        <w:rFonts w:ascii="Times New Roman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-342900</wp:posOffset>
          </wp:positionH>
          <wp:positionV relativeFrom="paragraph">
            <wp:posOffset>-271145</wp:posOffset>
          </wp:positionV>
          <wp:extent cx="628650" cy="902335"/>
          <wp:effectExtent l="0" t="0" r="0" b="0"/>
          <wp:wrapNone/>
          <wp:docPr id="2" name="Immagine 2" descr="barozzi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barozzi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</w:t>
    </w:r>
    <w:r>
      <w:rPr>
        <w:rFonts w:ascii="Kunstler Script" w:hAnsi="Kunstler Script"/>
        <w:b/>
        <w:sz w:val="40"/>
        <w:szCs w:val="40"/>
      </w:rPr>
      <w:t xml:space="preserve">Studio Barozzi Commercialisti </w:t>
    </w:r>
    <w:r>
      <w:rPr>
        <w:rFonts w:ascii="Kunstler Script" w:hAnsi="Kunstler Script"/>
        <w:b/>
        <w:sz w:val="40"/>
        <w:szCs w:val="40"/>
      </w:rPr>
      <w:tab/>
    </w:r>
  </w:p>
  <w:p>
    <w:pPr>
      <w:pStyle w:val="Intestazione"/>
    </w:pPr>
  </w:p>
  <w:p>
    <w:pPr>
      <w:pStyle w:val="Intestazione"/>
    </w:pPr>
  </w:p>
  <w:p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21C74"/>
    <w:multiLevelType w:val="hybridMultilevel"/>
    <w:tmpl w:val="753018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7F0A49"/>
    <w:multiLevelType w:val="hybridMultilevel"/>
    <w:tmpl w:val="6D86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6">
    <w:name w:val="heading 6"/>
    <w:basedOn w:val="Normale"/>
    <w:link w:val="Titolo6Carattere"/>
    <w:uiPriority w:val="9"/>
    <w:qFormat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Pr>
      <w:color w:val="0000FF"/>
      <w:u w:val="single"/>
    </w:rPr>
  </w:style>
  <w:style w:type="paragraph" w:customStyle="1" w:styleId="data-news">
    <w:name w:val="data-news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ese">
    <w:name w:val="mese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igtext">
    <w:name w:val="bigtext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malltext">
    <w:name w:val="smalltext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left10">
    <w:name w:val="mleft10"/>
    <w:basedOn w:val="Carpredefinitoparagrafo"/>
  </w:style>
  <w:style w:type="character" w:styleId="Numeropagina">
    <w:name w:val="page number"/>
    <w:basedOn w:val="Carpredefinitoparagrafo"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6">
    <w:name w:val="heading 6"/>
    <w:basedOn w:val="Normale"/>
    <w:link w:val="Titolo6Carattere"/>
    <w:uiPriority w:val="9"/>
    <w:qFormat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Pr>
      <w:color w:val="0000FF"/>
      <w:u w:val="single"/>
    </w:rPr>
  </w:style>
  <w:style w:type="paragraph" w:customStyle="1" w:styleId="data-news">
    <w:name w:val="data-news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ese">
    <w:name w:val="mese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igtext">
    <w:name w:val="bigtext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malltext">
    <w:name w:val="smalltext"/>
    <w:basedOn w:val="Normal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left10">
    <w:name w:val="mleft10"/>
    <w:basedOn w:val="Carpredefinitoparagrafo"/>
  </w:style>
  <w:style w:type="character" w:styleId="Numeropagina">
    <w:name w:val="page number"/>
    <w:basedOn w:val="Carpredefinitoparagrafo"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7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1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0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521B8-8CBF-4024-853B-89CF5146B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venti</dc:creator>
  <cp:lastModifiedBy>venti</cp:lastModifiedBy>
  <cp:revision>6</cp:revision>
  <cp:lastPrinted>2020-11-04T11:00:00Z</cp:lastPrinted>
  <dcterms:created xsi:type="dcterms:W3CDTF">2020-02-20T14:00:00Z</dcterms:created>
  <dcterms:modified xsi:type="dcterms:W3CDTF">2020-11-04T11:00:00Z</dcterms:modified>
</cp:coreProperties>
</file>